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440" w:after="240"/>
        <w:jc w:val="center"/>
        <w:rPr/>
      </w:pPr>
      <w:r>
        <w:rPr>
          <w:b/>
          <w:bCs/>
          <w:sz w:val="28"/>
          <w:szCs w:val="28"/>
        </w:rPr>
        <w:t>АССОЦИАЦИЯ КОРПОРАТИВНЫХ КАЗНАЧЕЕВ</w:t>
      </w:r>
    </w:p>
    <w:p>
      <w:pPr>
        <w:pStyle w:val="Normal"/>
        <w:spacing w:before="0" w:after="80"/>
        <w:rPr/>
      </w:pPr>
      <w:r>
        <w:rPr/>
      </w:r>
    </w:p>
    <w:p>
      <w:pPr>
        <w:pStyle w:val="Normal"/>
        <w:spacing w:before="0" w:after="80"/>
        <w:rPr/>
      </w:pPr>
      <w:r>
        <w:rPr/>
      </w:r>
    </w:p>
    <w:p>
      <w:pPr>
        <w:pStyle w:val="Normal"/>
        <w:spacing w:before="0" w:after="80"/>
        <w:rPr/>
      </w:pPr>
      <w:r>
        <w:rPr/>
      </w:r>
    </w:p>
    <w:p>
      <w:pPr>
        <w:pStyle w:val="Normal"/>
        <w:spacing w:before="1440" w:after="240"/>
        <w:jc w:val="center"/>
        <w:rPr/>
      </w:pPr>
      <w:r>
        <w:rPr>
          <w:b/>
          <w:bCs/>
          <w:sz w:val="36"/>
          <w:szCs w:val="36"/>
        </w:rPr>
        <w:t>ПОЛОЖЕНИЕ</w:t>
      </w:r>
    </w:p>
    <w:p>
      <w:pPr>
        <w:pStyle w:val="Normal"/>
        <w:spacing w:before="0" w:after="240"/>
        <w:jc w:val="center"/>
        <w:rPr/>
      </w:pPr>
      <w:r>
        <w:rPr>
          <w:b/>
          <w:bCs/>
          <w:sz w:val="36"/>
          <w:szCs w:val="36"/>
        </w:rPr>
        <w:t>О НАЦИОНАЛЬНОЙ ПРЕМИИ</w:t>
      </w:r>
    </w:p>
    <w:p>
      <w:pPr>
        <w:pStyle w:val="Normal"/>
        <w:spacing w:before="0" w:after="1440"/>
        <w:jc w:val="center"/>
        <w:rPr/>
      </w:pPr>
      <w:r>
        <w:rPr>
          <w:b/>
          <w:bCs/>
          <w:sz w:val="36"/>
          <w:szCs w:val="36"/>
        </w:rPr>
        <w:t>«КАЗНАЧЕЙ ГОДА»</w:t>
      </w:r>
    </w:p>
    <w:p>
      <w:pPr>
        <w:pStyle w:val="Normal"/>
        <w:spacing w:before="0" w:after="240"/>
        <w:jc w:val="center"/>
        <w:rPr/>
      </w:pPr>
      <w:r>
        <w:rPr/>
        <w:t>Москва</w:t>
      </w:r>
    </w:p>
    <w:p>
      <w:pPr>
        <w:pStyle w:val="Normal"/>
        <w:spacing w:before="0" w:after="2880"/>
        <w:jc w:val="center"/>
        <w:rPr/>
      </w:pPr>
      <w:r>
        <w:rPr/>
        <w:t>2026 год</w:t>
      </w:r>
    </w:p>
    <w:p>
      <w:pPr>
        <w:pStyle w:val="Normal"/>
        <w:spacing w:before="0" w:after="240"/>
        <w:jc w:val="both"/>
        <w:rPr/>
      </w:pPr>
      <w:r>
        <w:rPr/>
      </w:r>
    </w:p>
    <w:p>
      <w:pPr>
        <w:pStyle w:val="Normal"/>
        <w:spacing w:before="0" w:after="240"/>
        <w:jc w:val="both"/>
        <w:rPr/>
      </w:pPr>
      <w:r>
        <w:rPr/>
      </w:r>
    </w:p>
    <w:p>
      <w:pPr>
        <w:pStyle w:val="Normal"/>
        <w:spacing w:before="0" w:after="240"/>
        <w:jc w:val="both"/>
        <w:rPr/>
      </w:pPr>
      <w:r>
        <w:rPr/>
      </w:r>
    </w:p>
    <w:p>
      <w:pPr>
        <w:pStyle w:val="Normal"/>
        <w:spacing w:before="0" w:after="240"/>
        <w:jc w:val="both"/>
        <w:rPr/>
      </w:pPr>
      <w:r>
        <w:rPr/>
      </w:r>
    </w:p>
    <w:p>
      <w:pPr>
        <w:pStyle w:val="Normal"/>
        <w:spacing w:before="0" w:after="240"/>
        <w:jc w:val="both"/>
        <w:rPr/>
      </w:pPr>
      <w:r>
        <w:rPr/>
      </w:r>
    </w:p>
    <w:p>
      <w:pPr>
        <w:pStyle w:val="Normal"/>
        <w:spacing w:before="0" w:after="240"/>
        <w:jc w:val="both"/>
        <w:rPr/>
      </w:pPr>
      <w:r>
        <w:rPr/>
        <w:t>Настоящее Положение устанавливает цели, основные принципы, порядок организации и проведения Национальной Премии «Казначей года».</w:t>
      </w:r>
    </w:p>
    <w:p>
      <w:pPr>
        <w:pStyle w:val="Heading1"/>
        <w:rPr/>
      </w:pPr>
      <w:r>
        <w:rPr/>
        <w:t>1. ОБЩИЕ ВОПРОСЫ</w:t>
      </w:r>
    </w:p>
    <w:p>
      <w:pPr>
        <w:pStyle w:val="Normal"/>
        <w:spacing w:before="0" w:after="120"/>
        <w:jc w:val="both"/>
        <w:rPr/>
      </w:pPr>
      <w:r>
        <w:rPr>
          <w:b/>
          <w:bCs/>
        </w:rPr>
        <w:t xml:space="preserve">1.1.  </w:t>
      </w:r>
      <w:r>
        <w:rPr/>
        <w:t>Национальная премия «Казначей года» (далее по тексту «Премия») является общественной наградой, вручаемой победителям по номинациям, учреждённым в рамках Премии, за достижения в сфере совершенствования казначейской функции.</w:t>
      </w:r>
    </w:p>
    <w:p>
      <w:pPr>
        <w:pStyle w:val="Normal"/>
        <w:spacing w:before="0" w:after="120"/>
        <w:jc w:val="both"/>
        <w:rPr/>
      </w:pPr>
      <w:r>
        <w:rPr>
          <w:b/>
          <w:bCs/>
        </w:rPr>
        <w:t xml:space="preserve">1.2.  </w:t>
      </w:r>
      <w:r>
        <w:rPr/>
        <w:t>Премия учреждена в 2014 г., проводится ежегодно Ассоциацией корпоративных казначеев.</w:t>
      </w:r>
    </w:p>
    <w:p>
      <w:pPr>
        <w:pStyle w:val="Normal"/>
        <w:spacing w:before="0" w:after="120"/>
        <w:jc w:val="both"/>
        <w:rPr/>
      </w:pPr>
      <w:r>
        <w:rPr>
          <w:b/>
          <w:bCs/>
        </w:rPr>
        <w:t xml:space="preserve">1.3.  </w:t>
      </w:r>
      <w:r>
        <w:rPr/>
        <w:t>Цель Премии:</w:t>
      </w:r>
    </w:p>
    <w:p>
      <w:pPr>
        <w:pStyle w:val="ListParagraph"/>
        <w:numPr>
          <w:ilvl w:val="0"/>
          <w:numId w:val="4"/>
        </w:numPr>
        <w:rPr/>
      </w:pPr>
      <w:r>
        <w:rPr/>
        <w:t>отметить личный вклад руководителей и сотрудников казначейских подразделений компаний и иных лиц в развитие казначейской функции;</w:t>
      </w:r>
    </w:p>
    <w:p>
      <w:pPr>
        <w:pStyle w:val="ListParagraph"/>
        <w:numPr>
          <w:ilvl w:val="0"/>
          <w:numId w:val="1"/>
        </w:numPr>
        <w:rPr/>
      </w:pPr>
      <w:r>
        <w:rPr/>
        <w:t>способствовать внедрению и распространению высоких стандартов и лучших практик казначейской профессии в России и за её пределами.</w:t>
      </w:r>
    </w:p>
    <w:p>
      <w:pPr>
        <w:pStyle w:val="Normal"/>
        <w:spacing w:before="0" w:after="120"/>
        <w:jc w:val="both"/>
        <w:rPr/>
      </w:pPr>
      <w:r>
        <w:rPr>
          <w:b/>
          <w:bCs/>
        </w:rPr>
        <w:t xml:space="preserve">1.4.  </w:t>
      </w:r>
      <w:r>
        <w:rPr/>
        <w:t>Основными принципами присуждения Премии являются объективность и комплексный подход к оценке профессиональной и общественной деятельности номинантов.</w:t>
      </w:r>
    </w:p>
    <w:p>
      <w:pPr>
        <w:pStyle w:val="Normal"/>
        <w:spacing w:before="0" w:after="120"/>
        <w:jc w:val="both"/>
        <w:rPr/>
      </w:pPr>
      <w:r>
        <w:rPr>
          <w:b/>
          <w:bCs/>
        </w:rPr>
        <w:t xml:space="preserve">1.5.  </w:t>
      </w:r>
      <w:r>
        <w:rPr/>
        <w:t>Номинантами и победителями Премии могут стать граждане Российской Федерации и иностранные граждане, осуществляющие свою деятельность в сфере корпоративного казначейства на территории России либо за рубежом, но в интересах делового, научного, профессионального сообществ России.</w:t>
      </w:r>
    </w:p>
    <w:p>
      <w:pPr>
        <w:pStyle w:val="Normal"/>
        <w:spacing w:before="0" w:after="120"/>
        <w:jc w:val="both"/>
        <w:rPr/>
      </w:pPr>
      <w:r>
        <w:rPr>
          <w:b/>
          <w:bCs/>
        </w:rPr>
        <w:t xml:space="preserve">1.6.  </w:t>
      </w:r>
      <w:r>
        <w:rPr/>
        <w:t>Официальный сайт Премии: treasuryaward2025.ru. На сайте размещается вся актуальная информация о Премии, принимаются заявки от номинантов, проводится открытое голосование по номинации «Казначей года».</w:t>
      </w:r>
    </w:p>
    <w:p>
      <w:pPr>
        <w:pStyle w:val="Normal"/>
        <w:spacing w:before="0" w:after="80"/>
        <w:rPr/>
      </w:pPr>
      <w:r>
        <w:rPr/>
      </w:r>
    </w:p>
    <w:p>
      <w:pPr>
        <w:pStyle w:val="Heading1"/>
        <w:rPr/>
      </w:pPr>
      <w:r>
        <w:rPr/>
        <w:t>2. УПОЛНОМОЧЕННЫЕ ОРГАНЫ ПРЕМИИ</w:t>
      </w:r>
    </w:p>
    <w:p>
      <w:pPr>
        <w:pStyle w:val="Normal"/>
        <w:spacing w:before="0" w:after="120"/>
        <w:jc w:val="both"/>
        <w:rPr/>
      </w:pPr>
      <w:r>
        <w:rPr/>
        <w:t>Для решения организационных вопросов и определения победителей Премии создаются Организационный комитет и Экспертный совет.</w:t>
      </w:r>
    </w:p>
    <w:p>
      <w:pPr>
        <w:pStyle w:val="Heading2"/>
        <w:rPr/>
      </w:pPr>
      <w:r>
        <w:rPr/>
        <w:t>2.1. Организационный комитет Премии.</w:t>
      </w:r>
    </w:p>
    <w:p>
      <w:pPr>
        <w:pStyle w:val="Normal"/>
        <w:spacing w:before="0" w:after="120"/>
        <w:jc w:val="both"/>
        <w:rPr/>
      </w:pPr>
      <w:r>
        <w:rPr>
          <w:b/>
          <w:bCs/>
        </w:rPr>
        <w:t xml:space="preserve">2.1.1.  </w:t>
      </w:r>
      <w:r>
        <w:rPr/>
        <w:t>Организационный комитет является органом, действующим в период подготовки и проведения Премии.</w:t>
      </w:r>
    </w:p>
    <w:p>
      <w:pPr>
        <w:pStyle w:val="Normal"/>
        <w:spacing w:before="0" w:after="120"/>
        <w:jc w:val="both"/>
        <w:rPr/>
      </w:pPr>
      <w:r>
        <w:rPr>
          <w:b/>
          <w:bCs/>
        </w:rPr>
        <w:t xml:space="preserve">2.1.2.  </w:t>
      </w:r>
      <w:r>
        <w:rPr/>
        <w:t>В состав Организационного комитета входят представители Ассоциации корпоративных казначеев. Иные лица могут присоединиться к работе Организационного комитета и принять участие в подготовке и проведении Премии. Формы и статус такого участия определяются по соглашению заинтересованных сторон.</w:t>
      </w:r>
    </w:p>
    <w:p>
      <w:pPr>
        <w:pStyle w:val="Normal"/>
        <w:spacing w:before="0" w:after="120"/>
        <w:jc w:val="both"/>
        <w:rPr/>
      </w:pPr>
      <w:r>
        <w:rPr/>
        <w:t>Деятельность по подготовке и проведению Премии в составе Организационного комитета для всех его участников является добровольной и осуществляется на основе паритета.</w:t>
      </w:r>
    </w:p>
    <w:p>
      <w:pPr>
        <w:pStyle w:val="Normal"/>
        <w:spacing w:before="0" w:after="120"/>
        <w:jc w:val="both"/>
        <w:rPr/>
      </w:pPr>
      <w:r>
        <w:rPr>
          <w:b/>
          <w:bCs/>
        </w:rPr>
        <w:t xml:space="preserve">2.1.3.  </w:t>
      </w:r>
      <w:r>
        <w:rPr/>
        <w:t>Организационный комитет:</w:t>
      </w:r>
    </w:p>
    <w:p>
      <w:pPr>
        <w:pStyle w:val="ListParagraph"/>
        <w:numPr>
          <w:ilvl w:val="0"/>
          <w:numId w:val="1"/>
        </w:numPr>
        <w:rPr/>
      </w:pPr>
      <w:r>
        <w:rPr/>
        <w:t>осуществляет организационное обеспечение деятельности по подготовке и проведению Премии, её юридического и информационного сопровождения;</w:t>
      </w:r>
    </w:p>
    <w:p>
      <w:pPr>
        <w:pStyle w:val="ListParagraph"/>
        <w:numPr>
          <w:ilvl w:val="0"/>
          <w:numId w:val="1"/>
        </w:numPr>
        <w:rPr/>
      </w:pPr>
      <w:r>
        <w:rPr/>
        <w:t>утверждает календарный план подготовки и проведения Премии;</w:t>
      </w:r>
    </w:p>
    <w:p>
      <w:pPr>
        <w:pStyle w:val="ListParagraph"/>
        <w:numPr>
          <w:ilvl w:val="0"/>
          <w:numId w:val="1"/>
        </w:numPr>
        <w:rPr/>
      </w:pPr>
      <w:r>
        <w:rPr/>
        <w:t>определяет численность и предварительный состав Экспертного совета;</w:t>
      </w:r>
    </w:p>
    <w:p>
      <w:pPr>
        <w:pStyle w:val="ListParagraph"/>
        <w:numPr>
          <w:ilvl w:val="0"/>
          <w:numId w:val="1"/>
        </w:numPr>
        <w:rPr/>
      </w:pPr>
      <w:r>
        <w:rPr/>
        <w:t>доводит до сведения общественности настоящее Положение, сроки выдвижения заинтересованными лицами кандидатур для включения в список номинантов, сроки составления Премии, информацию по включению кандидатов в номинанты Премии, принятия решения по номинантам, объявления победителей Премии и вручения наград;</w:t>
      </w:r>
    </w:p>
    <w:p>
      <w:pPr>
        <w:pStyle w:val="ListParagraph"/>
        <w:numPr>
          <w:ilvl w:val="0"/>
          <w:numId w:val="1"/>
        </w:numPr>
        <w:rPr/>
      </w:pPr>
      <w:r>
        <w:rPr/>
        <w:t>организует размещение информации о Премии, номинантах и порядке голосования на официальном сайте Премии (treasuryaward2025.ru);</w:t>
      </w:r>
    </w:p>
    <w:p>
      <w:pPr>
        <w:pStyle w:val="ListParagraph"/>
        <w:numPr>
          <w:ilvl w:val="0"/>
          <w:numId w:val="1"/>
        </w:numPr>
        <w:rPr/>
      </w:pPr>
      <w:r>
        <w:rPr/>
        <w:t>организует церемонию торжественного награждения победителей Премии;</w:t>
      </w:r>
    </w:p>
    <w:p>
      <w:pPr>
        <w:pStyle w:val="ListParagraph"/>
        <w:numPr>
          <w:ilvl w:val="0"/>
          <w:numId w:val="1"/>
        </w:numPr>
        <w:rPr/>
      </w:pPr>
      <w:r>
        <w:rPr/>
        <w:t>осуществляет взаимодействие со спонсорами, партнёрами Премии, а также со средствами массовой информации;</w:t>
      </w:r>
    </w:p>
    <w:p>
      <w:pPr>
        <w:pStyle w:val="ListParagraph"/>
        <w:numPr>
          <w:ilvl w:val="0"/>
          <w:numId w:val="1"/>
        </w:numPr>
        <w:rPr/>
      </w:pPr>
      <w:r>
        <w:rPr/>
        <w:t>вносит изменения в настоящее Положение;</w:t>
      </w:r>
    </w:p>
    <w:p>
      <w:pPr>
        <w:pStyle w:val="ListParagraph"/>
        <w:numPr>
          <w:ilvl w:val="0"/>
          <w:numId w:val="1"/>
        </w:numPr>
        <w:rPr/>
      </w:pPr>
      <w:r>
        <w:rPr/>
        <w:t>решает другие организационные, финансовые и технические вопросы, связанные с организацией Премии.</w:t>
      </w:r>
    </w:p>
    <w:p>
      <w:pPr>
        <w:pStyle w:val="Heading2"/>
        <w:rPr/>
      </w:pPr>
      <w:r>
        <w:rPr/>
        <w:t>2.2. Экспертный совет Премии.</w:t>
      </w:r>
    </w:p>
    <w:p>
      <w:pPr>
        <w:pStyle w:val="Normal"/>
        <w:spacing w:before="0" w:after="120"/>
        <w:jc w:val="both"/>
        <w:rPr/>
      </w:pPr>
      <w:r>
        <w:rPr>
          <w:b/>
          <w:bCs/>
        </w:rPr>
        <w:t xml:space="preserve">2.2.1.  </w:t>
      </w:r>
      <w:r>
        <w:rPr/>
        <w:t>Экспертный совет определяет лауреатов в номинациях Премии посредством заочного голосования по номинантам (за исключением номинации «Казначей года», победитель которой определяется открытым голосованием профессионального сообщества через официальный сайт Премии).</w:t>
      </w:r>
    </w:p>
    <w:p>
      <w:pPr>
        <w:pStyle w:val="Normal"/>
        <w:spacing w:before="0" w:after="120"/>
        <w:jc w:val="both"/>
        <w:rPr/>
      </w:pPr>
      <w:r>
        <w:rPr>
          <w:b/>
          <w:bCs/>
        </w:rPr>
        <w:t xml:space="preserve">2.2.2.  </w:t>
      </w:r>
      <w:r>
        <w:rPr/>
        <w:t>Для формирования состава Экспертного совета Организационный комитет направляет приглашения авторитетным представителям бизнес-сообщества, органов государственной власти и экспертам, разделяющим ценности и принципы корпоративного управления. Также приглашения направляются победителям Премии прошедшего года. Включение в состав Экспертного совета происходит после получения согласия лиц, получивших приглашения.</w:t>
      </w:r>
    </w:p>
    <w:p>
      <w:pPr>
        <w:pStyle w:val="Normal"/>
        <w:spacing w:before="0" w:after="120"/>
        <w:jc w:val="both"/>
        <w:rPr/>
      </w:pPr>
      <w:r>
        <w:rPr>
          <w:b/>
          <w:bCs/>
        </w:rPr>
        <w:t xml:space="preserve">2.2.3.  </w:t>
      </w:r>
      <w:r>
        <w:rPr/>
        <w:t>Экспертный совет возглавляется Председателем, который объединяет усилия остальных его членов в целях выбора победителей Премии на основе компетентной и объективной оценки номинантов. Председатель Экспертного совета подписывает протоколы и решения Экспертного совета. В отсутствие Председателя его деятельность осуществляет Заместитель Председателя Экспертного совета.</w:t>
      </w:r>
    </w:p>
    <w:p>
      <w:pPr>
        <w:pStyle w:val="Normal"/>
        <w:spacing w:before="0" w:after="120"/>
        <w:jc w:val="both"/>
        <w:rPr/>
      </w:pPr>
      <w:r>
        <w:rPr>
          <w:b/>
          <w:bCs/>
        </w:rPr>
        <w:t xml:space="preserve">2.2.4.  </w:t>
      </w:r>
      <w:r>
        <w:rPr/>
        <w:t>Функции по обеспечению эффективного взаимодействия Экспертного совета с Организационным комитетом возлагаются на Секретаря Экспертного совета.</w:t>
      </w:r>
    </w:p>
    <w:p>
      <w:pPr>
        <w:pStyle w:val="Normal"/>
        <w:spacing w:before="0" w:after="120"/>
        <w:jc w:val="both"/>
        <w:rPr/>
      </w:pPr>
      <w:r>
        <w:rPr>
          <w:b/>
          <w:bCs/>
        </w:rPr>
        <w:t xml:space="preserve">2.2.5.  </w:t>
      </w:r>
      <w:r>
        <w:rPr/>
        <w:t>Секретарь Экспертного совета:</w:t>
      </w:r>
    </w:p>
    <w:p>
      <w:pPr>
        <w:pStyle w:val="ListParagraph"/>
        <w:numPr>
          <w:ilvl w:val="0"/>
          <w:numId w:val="1"/>
        </w:numPr>
        <w:rPr/>
      </w:pPr>
      <w:r>
        <w:rPr/>
        <w:t>осуществляет документационное и информационное обеспечение деятельности Экспертного совета;</w:t>
      </w:r>
    </w:p>
    <w:p>
      <w:pPr>
        <w:pStyle w:val="ListParagraph"/>
        <w:numPr>
          <w:ilvl w:val="0"/>
          <w:numId w:val="1"/>
        </w:numPr>
        <w:rPr/>
      </w:pPr>
      <w:r>
        <w:rPr/>
        <w:t>осуществляет приём документов лиц, выдвинутых в качестве кандидатов в номинанты;</w:t>
      </w:r>
    </w:p>
    <w:p>
      <w:pPr>
        <w:pStyle w:val="ListParagraph"/>
        <w:numPr>
          <w:ilvl w:val="0"/>
          <w:numId w:val="1"/>
        </w:numPr>
        <w:rPr/>
      </w:pPr>
      <w:r>
        <w:rPr/>
        <w:t>осуществляет проверку кандидатов-соискателей Премии на соответствие дополнительным критериям, установленным настоящим Положением;</w:t>
      </w:r>
    </w:p>
    <w:p>
      <w:pPr>
        <w:pStyle w:val="ListParagraph"/>
        <w:numPr>
          <w:ilvl w:val="0"/>
          <w:numId w:val="1"/>
        </w:numPr>
        <w:rPr/>
      </w:pPr>
      <w:r>
        <w:rPr/>
        <w:t>в рамках процедуры определения победителя по отдельным номинациям Премии организует проведение интервью с номинантами;</w:t>
      </w:r>
    </w:p>
    <w:p>
      <w:pPr>
        <w:pStyle w:val="ListParagraph"/>
        <w:numPr>
          <w:ilvl w:val="0"/>
          <w:numId w:val="1"/>
        </w:numPr>
        <w:rPr/>
      </w:pPr>
      <w:r>
        <w:rPr/>
        <w:t>организует процесс голосования по вопросам, вынесенным на рассмотрение Экспертного совета;</w:t>
      </w:r>
    </w:p>
    <w:p>
      <w:pPr>
        <w:pStyle w:val="ListParagraph"/>
        <w:numPr>
          <w:ilvl w:val="0"/>
          <w:numId w:val="1"/>
        </w:numPr>
        <w:rPr/>
      </w:pPr>
      <w:r>
        <w:rPr/>
        <w:t>обеспечивает подсчёт итогов голосования Экспертного совета по каждой номинации Премии, составляет и подписывает протоколы о результатах;</w:t>
      </w:r>
    </w:p>
    <w:p>
      <w:pPr>
        <w:pStyle w:val="ListParagraph"/>
        <w:numPr>
          <w:ilvl w:val="0"/>
          <w:numId w:val="1"/>
        </w:numPr>
        <w:rPr/>
      </w:pPr>
      <w:r>
        <w:rPr/>
        <w:t>составляет и подписывает вместе с Председателем Экспертного совета итоговый протокол Экспертного совета;</w:t>
      </w:r>
    </w:p>
    <w:p>
      <w:pPr>
        <w:pStyle w:val="ListParagraph"/>
        <w:numPr>
          <w:ilvl w:val="0"/>
          <w:numId w:val="1"/>
        </w:numPr>
        <w:rPr/>
      </w:pPr>
      <w:r>
        <w:rPr/>
        <w:t>обеспечивает организацию и техническое сопровождение открытого голосования по номинации «Казначей года» на официальном сайте Премии.</w:t>
      </w:r>
    </w:p>
    <w:p>
      <w:pPr>
        <w:pStyle w:val="Normal"/>
        <w:spacing w:before="0" w:after="80"/>
        <w:rPr/>
      </w:pPr>
      <w:r>
        <w:rPr/>
      </w:r>
    </w:p>
    <w:p>
      <w:pPr>
        <w:pStyle w:val="Heading1"/>
        <w:rPr/>
      </w:pPr>
      <w:r>
        <w:rPr/>
        <w:t>3. НОМИНАЦИИ</w:t>
      </w:r>
    </w:p>
    <w:p>
      <w:pPr>
        <w:pStyle w:val="Normal"/>
        <w:spacing w:before="0" w:after="120"/>
        <w:jc w:val="both"/>
        <w:rPr/>
      </w:pPr>
      <w:r>
        <w:rPr>
          <w:b/>
          <w:bCs/>
        </w:rPr>
        <w:t xml:space="preserve">3.1.  </w:t>
      </w:r>
      <w:r>
        <w:rPr/>
        <w:t>В рамках Премии учреждены следующие номинации:</w:t>
      </w:r>
    </w:p>
    <w:p>
      <w:pPr>
        <w:pStyle w:val="Normal"/>
        <w:spacing w:before="0" w:after="120"/>
        <w:jc w:val="both"/>
        <w:rPr/>
      </w:pPr>
      <w:r>
        <w:rPr>
          <w:b/>
          <w:bCs/>
        </w:rPr>
        <w:t xml:space="preserve">3.1.1.  </w:t>
      </w:r>
      <w:r>
        <w:rPr/>
        <w:t>Номинация «Сделка года по привлечению финансирования на денежном рынке»</w:t>
      </w:r>
    </w:p>
    <w:p>
      <w:pPr>
        <w:pStyle w:val="Normal"/>
        <w:spacing w:before="0" w:after="120"/>
        <w:jc w:val="both"/>
        <w:rPr/>
      </w:pPr>
      <w:r>
        <w:rPr>
          <w:b/>
          <w:bCs/>
        </w:rPr>
        <w:t xml:space="preserve">3.1.2.  </w:t>
      </w:r>
      <w:r>
        <w:rPr/>
        <w:t>Номинация «Сделка года по привлечению финансирования на долговом рынке»</w:t>
      </w:r>
    </w:p>
    <w:p>
      <w:pPr>
        <w:pStyle w:val="Normal"/>
        <w:spacing w:before="0" w:after="120"/>
        <w:jc w:val="both"/>
        <w:rPr/>
      </w:pPr>
      <w:r>
        <w:rPr>
          <w:b/>
          <w:bCs/>
        </w:rPr>
        <w:t xml:space="preserve">3.1.3.  </w:t>
      </w:r>
      <w:r>
        <w:rPr/>
        <w:t>Номинация «Управление денежными средствами»</w:t>
      </w:r>
    </w:p>
    <w:p>
      <w:pPr>
        <w:pStyle w:val="Normal"/>
        <w:spacing w:before="0" w:after="120"/>
        <w:jc w:val="both"/>
        <w:rPr/>
      </w:pPr>
      <w:r>
        <w:rPr>
          <w:b/>
          <w:bCs/>
        </w:rPr>
        <w:t xml:space="preserve">3.1.4.  </w:t>
      </w:r>
      <w:r>
        <w:rPr/>
        <w:t>Номинация «Управление финансовыми рисками»</w:t>
      </w:r>
    </w:p>
    <w:p>
      <w:pPr>
        <w:pStyle w:val="Normal"/>
        <w:spacing w:before="0" w:after="120"/>
        <w:jc w:val="both"/>
        <w:rPr/>
      </w:pPr>
      <w:r>
        <w:rPr>
          <w:b/>
          <w:bCs/>
        </w:rPr>
        <w:t xml:space="preserve">3.1.5.  </w:t>
      </w:r>
      <w:r>
        <w:rPr/>
        <w:t>Номинация «Проект года в области автоматизации казначейской функции»</w:t>
      </w:r>
    </w:p>
    <w:p>
      <w:pPr>
        <w:pStyle w:val="Normal"/>
        <w:spacing w:before="0" w:after="120"/>
        <w:jc w:val="both"/>
        <w:rPr/>
      </w:pPr>
      <w:r>
        <w:rPr>
          <w:b/>
          <w:bCs/>
        </w:rPr>
        <w:t xml:space="preserve">3.1.6.  </w:t>
      </w:r>
      <w:r>
        <w:rPr/>
        <w:t>Номинация «Проект года в области наличного денежного обращения»</w:t>
      </w:r>
    </w:p>
    <w:p>
      <w:pPr>
        <w:pStyle w:val="Normal"/>
        <w:spacing w:before="0" w:after="120"/>
        <w:jc w:val="both"/>
        <w:rPr/>
      </w:pPr>
      <w:r>
        <w:rPr>
          <w:b/>
          <w:bCs/>
        </w:rPr>
        <w:t xml:space="preserve">3.1.7.  </w:t>
      </w:r>
      <w:r>
        <w:rPr/>
        <w:t>Номинация «Сделка года по привлечению финансирования с помощью ЦФА»</w:t>
      </w:r>
    </w:p>
    <w:p>
      <w:pPr>
        <w:pStyle w:val="Normal"/>
        <w:spacing w:before="0" w:after="120"/>
        <w:jc w:val="both"/>
        <w:rPr/>
      </w:pPr>
      <w:r>
        <w:rPr>
          <w:b/>
          <w:bCs/>
        </w:rPr>
        <w:t xml:space="preserve">3.1.8.  </w:t>
      </w:r>
      <w:r>
        <w:rPr/>
        <w:t>Номинация «Сделка года на рынке торгового финансирования»</w:t>
      </w:r>
    </w:p>
    <w:p>
      <w:pPr>
        <w:pStyle w:val="Normal"/>
        <w:spacing w:before="0" w:after="120"/>
        <w:jc w:val="both"/>
        <w:rPr/>
      </w:pPr>
      <w:r>
        <w:rPr>
          <w:b/>
          <w:bCs/>
        </w:rPr>
        <w:t xml:space="preserve">3.1.9.  </w:t>
      </w:r>
      <w:r>
        <w:rPr/>
        <w:t>Номинация «Казначей года».</w:t>
      </w:r>
    </w:p>
    <w:p>
      <w:pPr>
        <w:pStyle w:val="Normal"/>
        <w:spacing w:before="0" w:after="120"/>
        <w:jc w:val="both"/>
        <w:rPr/>
      </w:pPr>
      <w:r>
        <w:rPr>
          <w:b/>
          <w:bCs/>
        </w:rPr>
        <w:t xml:space="preserve">3.2.  </w:t>
      </w:r>
      <w:r>
        <w:rPr/>
        <w:t>Организационный комитет Премии вправе учреждать новые номинации, изменять названия существующих или отменять их. Актуальный перечень номинаций публикуется на официальном сайте Премии.</w:t>
      </w:r>
    </w:p>
    <w:p>
      <w:pPr>
        <w:pStyle w:val="Normal"/>
        <w:spacing w:before="0" w:after="120"/>
        <w:jc w:val="both"/>
        <w:rPr/>
      </w:pPr>
      <w:r>
        <w:rPr>
          <w:b/>
          <w:bCs/>
        </w:rPr>
        <w:t xml:space="preserve">3.3.  </w:t>
      </w:r>
      <w:r>
        <w:rPr/>
        <w:t>Номинация «Казначей года» является индивидуальной. Победитель по данной номинации определяется по результатам открытого голосования профессионального сообщества через официальный сайт Премии (treasuryaward2025.ru) в порядке, установленном разделом 5 настоящего Положения. Остальные номинации являются командными; победители определяются Экспертным советом.</w:t>
      </w:r>
    </w:p>
    <w:p>
      <w:pPr>
        <w:pStyle w:val="Normal"/>
        <w:spacing w:before="0" w:after="120"/>
        <w:jc w:val="both"/>
        <w:rPr/>
      </w:pPr>
      <w:r>
        <w:rPr>
          <w:b/>
          <w:bCs/>
        </w:rPr>
        <w:t xml:space="preserve">3.4.  </w:t>
      </w:r>
      <w:r>
        <w:rPr/>
        <w:t>Наряду с основными номинациями в рамках Премии могут учреждаться специальные номинации, инициированные генеральными партнёрами или спонсорами Премии. Специальные номинации отражают профессиональные приоритеты инициатора и учреждаются в соответствии с его тематической экспертизой в области корпоративного казначейства или смежных финансовых дисциплин.</w:t>
      </w:r>
    </w:p>
    <w:p>
      <w:pPr>
        <w:pStyle w:val="Normal"/>
        <w:spacing w:before="0" w:after="120"/>
        <w:jc w:val="both"/>
        <w:rPr/>
      </w:pPr>
      <w:r>
        <w:rPr/>
        <w:t>Порядок определения победителя специальной номинации устанавливается её инициатором самостоятельно. Ассоциация корпоративных казначеев, сохраняя независимый и некоммерческий характер Премии, не участвует в формировании критериев оценки и принятии решений по специальным номинациям. Возможность учреждения специальной номинации рассматривается Организационным комитетом в каждом случае индивидуально с учётом профессиональной значимости номинации и её соответствия ценностям Премии.</w:t>
      </w:r>
    </w:p>
    <w:p>
      <w:pPr>
        <w:pStyle w:val="Normal"/>
        <w:spacing w:before="0" w:after="80"/>
        <w:rPr/>
      </w:pPr>
      <w:r>
        <w:rPr/>
      </w:r>
    </w:p>
    <w:p>
      <w:pPr>
        <w:pStyle w:val="Heading1"/>
        <w:rPr/>
      </w:pPr>
      <w:r>
        <w:rPr/>
        <w:t>4. ПОРЯДОК ПРОВЕДЕНИЯ ПРЕМИИ</w:t>
      </w:r>
    </w:p>
    <w:p>
      <w:pPr>
        <w:pStyle w:val="Normal"/>
        <w:spacing w:before="0" w:after="120"/>
        <w:jc w:val="both"/>
        <w:rPr/>
      </w:pPr>
      <w:r>
        <w:rPr>
          <w:b/>
          <w:bCs/>
        </w:rPr>
        <w:t xml:space="preserve">4.1.  </w:t>
      </w:r>
      <w:r>
        <w:rPr/>
        <w:t>Началом проведения Премии является размещение информационного сообщения на сайте Премии в сети Интернет (treasuryaward2025.ru). В сообщении объявляется период номинирования, определяемый Организационным комитетом, в течение которого все заинтересованные организации (коммерческие и некоммерческие) и представители профессионального сообщества могут выдвигать кандидатов для отбора по номинациям; также допускается самовыдвижение.</w:t>
      </w:r>
    </w:p>
    <w:p>
      <w:pPr>
        <w:pStyle w:val="Normal"/>
        <w:spacing w:before="0" w:after="120"/>
        <w:jc w:val="both"/>
        <w:rPr/>
      </w:pPr>
      <w:r>
        <w:rPr>
          <w:b/>
          <w:bCs/>
        </w:rPr>
        <w:t xml:space="preserve">4.2.  </w:t>
      </w:r>
      <w:r>
        <w:rPr/>
        <w:t>Информация о периоде номинирования и порядке выдвижения кандидатов по номинациям распространяется посредством информационных рассылок, а также размещается на сайте Премии в сети Интернет (treasuryaward2025.ru).</w:t>
      </w:r>
    </w:p>
    <w:p>
      <w:pPr>
        <w:pStyle w:val="Normal"/>
        <w:spacing w:before="0" w:after="120"/>
        <w:jc w:val="both"/>
        <w:rPr/>
      </w:pPr>
      <w:r>
        <w:rPr>
          <w:b/>
          <w:bCs/>
        </w:rPr>
        <w:t xml:space="preserve">4.3.  </w:t>
      </w:r>
      <w:r>
        <w:rPr/>
        <w:t>Сведения о кандидатах по номинациям предоставляются через форму подачи заявки на официальном сайте Премии (treasuryaward2025.ru) либо направляются в форме эссе (не более 4 000 знаков без пробелов) Секретарю Экспертного совета по адресу Ассоциации корпоративных казначеев (контактная информация размещается на сайте Премии). На сайте Премии по усмотрению Организационного комитета может быть представлена обязательная к использованию форма эссе.</w:t>
      </w:r>
    </w:p>
    <w:p>
      <w:pPr>
        <w:pStyle w:val="Normal"/>
        <w:spacing w:before="0" w:after="120"/>
        <w:jc w:val="both"/>
        <w:rPr/>
      </w:pPr>
      <w:r>
        <w:rPr>
          <w:b/>
          <w:bCs/>
        </w:rPr>
        <w:t xml:space="preserve">4.4.  </w:t>
      </w:r>
      <w:r>
        <w:rPr/>
        <w:t>В качестве дополнительных материалов с описанием сведений о кандидатах по номинациям могут также предоставляться презентационные материалы.</w:t>
      </w:r>
    </w:p>
    <w:p>
      <w:pPr>
        <w:pStyle w:val="Normal"/>
        <w:spacing w:before="0" w:after="120"/>
        <w:jc w:val="both"/>
        <w:rPr/>
      </w:pPr>
      <w:r>
        <w:rPr>
          <w:b/>
          <w:bCs/>
        </w:rPr>
        <w:t xml:space="preserve">4.5.  </w:t>
      </w:r>
      <w:r>
        <w:rPr/>
        <w:t>Календарный план проведения Премии «Казначей года» 2025 (актуальные даты публикуются на официальном сайте Премии treasuryaward2025.ru):</w:t>
      </w:r>
    </w:p>
    <w:p>
      <w:pPr>
        <w:pStyle w:val="ListParagraph"/>
        <w:numPr>
          <w:ilvl w:val="0"/>
          <w:numId w:val="1"/>
        </w:numPr>
        <w:rPr/>
      </w:pPr>
      <w:r>
        <w:rPr>
          <w:b/>
          <w:bCs/>
        </w:rPr>
        <w:t xml:space="preserve">Подача заявок (период номинирования): </w:t>
      </w:r>
      <w:r>
        <w:rPr/>
        <w:t>до 25 августа 2026 года;</w:t>
      </w:r>
    </w:p>
    <w:p>
      <w:pPr>
        <w:pStyle w:val="ListParagraph"/>
        <w:numPr>
          <w:ilvl w:val="0"/>
          <w:numId w:val="1"/>
        </w:numPr>
        <w:rPr/>
      </w:pPr>
      <w:r>
        <w:rPr>
          <w:b/>
          <w:bCs/>
        </w:rPr>
        <w:t xml:space="preserve">Работа Экспертного совета: </w:t>
      </w:r>
      <w:r>
        <w:rPr/>
        <w:t>26 августа - 9 сентября 2026 года;</w:t>
      </w:r>
    </w:p>
    <w:p>
      <w:pPr>
        <w:pStyle w:val="ListParagraph"/>
        <w:numPr>
          <w:ilvl w:val="0"/>
          <w:numId w:val="1"/>
        </w:numPr>
        <w:rPr/>
      </w:pPr>
      <w:r>
        <w:rPr>
          <w:b/>
          <w:bCs/>
        </w:rPr>
        <w:t xml:space="preserve">Открытое голосование по номинации «Казначей года»: </w:t>
      </w:r>
      <w:r>
        <w:rPr/>
        <w:t>10 - 23 сентября 2026 года;</w:t>
      </w:r>
    </w:p>
    <w:p>
      <w:pPr>
        <w:pStyle w:val="ListParagraph"/>
        <w:numPr>
          <w:ilvl w:val="0"/>
          <w:numId w:val="1"/>
        </w:numPr>
        <w:rPr/>
      </w:pPr>
      <w:r>
        <w:rPr>
          <w:b/>
          <w:bCs/>
        </w:rPr>
        <w:t xml:space="preserve">Церемония награждения: </w:t>
      </w:r>
      <w:r>
        <w:rPr/>
        <w:t>24 сентября 2026 года.</w:t>
      </w:r>
    </w:p>
    <w:p>
      <w:pPr>
        <w:pStyle w:val="Normal"/>
        <w:spacing w:before="0" w:after="80"/>
        <w:rPr/>
      </w:pPr>
      <w:r>
        <w:rPr/>
      </w:r>
    </w:p>
    <w:p>
      <w:pPr>
        <w:pStyle w:val="Heading1"/>
        <w:rPr/>
      </w:pPr>
      <w:r>
        <w:rPr/>
        <w:t>5. ПРОВЕДЕНИЕ ПРЕМИИ</w:t>
      </w:r>
    </w:p>
    <w:p>
      <w:pPr>
        <w:pStyle w:val="Heading2"/>
        <w:rPr/>
      </w:pPr>
      <w:r>
        <w:rPr/>
        <w:t>5.1. Критерии для оценки и выбора кандидатов и определения победителя:</w:t>
      </w:r>
    </w:p>
    <w:p>
      <w:pPr>
        <w:pStyle w:val="Normal"/>
        <w:spacing w:before="0" w:after="120"/>
        <w:jc w:val="both"/>
        <w:rPr/>
      </w:pPr>
      <w:r>
        <w:rPr>
          <w:b/>
          <w:bCs/>
        </w:rPr>
        <w:t xml:space="preserve">5.1.1.  </w:t>
      </w:r>
      <w:r>
        <w:rPr/>
        <w:t>Номинация «Сделка года по привлечению финансирования на денежном рынке»:</w:t>
      </w:r>
    </w:p>
    <w:p>
      <w:pPr>
        <w:pStyle w:val="ListParagraph"/>
        <w:numPr>
          <w:ilvl w:val="0"/>
          <w:numId w:val="1"/>
        </w:numPr>
        <w:rPr/>
      </w:pPr>
      <w:r>
        <w:rPr/>
        <w:t>успешная реализация и/или участие в сделке по одному из следующих направлений:</w:t>
      </w:r>
    </w:p>
    <w:p>
      <w:pPr>
        <w:pStyle w:val="ListParagraph"/>
        <w:numPr>
          <w:ilvl w:val="0"/>
          <w:numId w:val="5"/>
        </w:numPr>
        <w:rPr/>
      </w:pPr>
      <w:r>
        <w:rPr/>
        <w:t>привлечение долгосрочного финансирования сроком более 12 месяцев;</w:t>
      </w:r>
    </w:p>
    <w:p>
      <w:pPr>
        <w:pStyle w:val="ListParagraph"/>
        <w:numPr>
          <w:ilvl w:val="0"/>
          <w:numId w:val="2"/>
        </w:numPr>
        <w:rPr/>
      </w:pPr>
      <w:r>
        <w:rPr/>
        <w:t>слияние и поглощение (инвестиционный анализ, управление проектом, интеграция операционной деятельности).</w:t>
      </w:r>
    </w:p>
    <w:p>
      <w:pPr>
        <w:pStyle w:val="ListParagraph"/>
        <w:numPr>
          <w:ilvl w:val="0"/>
          <w:numId w:val="1"/>
        </w:numPr>
        <w:rPr/>
      </w:pPr>
      <w:r>
        <w:rPr/>
        <w:t>критериями оценки также будут выступать: объём сделки, сложность сделки, сроки реализации;</w:t>
      </w:r>
    </w:p>
    <w:p>
      <w:pPr>
        <w:pStyle w:val="ListParagraph"/>
        <w:numPr>
          <w:ilvl w:val="0"/>
          <w:numId w:val="1"/>
        </w:numPr>
        <w:rPr/>
      </w:pPr>
      <w:r>
        <w:rPr/>
        <w:t>реализация сделки или её успешное завершение в течение предыдущих 12 месяцев.</w:t>
      </w:r>
    </w:p>
    <w:p>
      <w:pPr>
        <w:pStyle w:val="Normal"/>
        <w:spacing w:before="0" w:after="120"/>
        <w:jc w:val="both"/>
        <w:rPr/>
      </w:pPr>
      <w:r>
        <w:rPr>
          <w:b/>
          <w:bCs/>
        </w:rPr>
        <w:t xml:space="preserve">5.1.2.  </w:t>
      </w:r>
      <w:r>
        <w:rPr/>
        <w:t>Номинация «Сделка года по привлечению финансирования на долговом рынке»:</w:t>
      </w:r>
    </w:p>
    <w:p>
      <w:pPr>
        <w:pStyle w:val="ListParagraph"/>
        <w:numPr>
          <w:ilvl w:val="0"/>
          <w:numId w:val="1"/>
        </w:numPr>
        <w:rPr/>
      </w:pPr>
      <w:r>
        <w:rPr/>
        <w:t>успешная реализация и/или участие в сделке по одному из следующих направлений:</w:t>
      </w:r>
    </w:p>
    <w:p>
      <w:pPr>
        <w:pStyle w:val="ListParagraph"/>
        <w:numPr>
          <w:ilvl w:val="0"/>
          <w:numId w:val="2"/>
        </w:numPr>
        <w:rPr/>
      </w:pPr>
      <w:r>
        <w:rPr/>
        <w:t>привлечение долгосрочного финансирования сроком более 12 месяцев;</w:t>
      </w:r>
    </w:p>
    <w:p>
      <w:pPr>
        <w:pStyle w:val="ListParagraph"/>
        <w:numPr>
          <w:ilvl w:val="0"/>
          <w:numId w:val="2"/>
        </w:numPr>
        <w:rPr/>
      </w:pPr>
      <w:r>
        <w:rPr/>
        <w:t>слияние и поглощение (инвестиционный анализ, управление проектом, интеграция операционной деятельности).</w:t>
      </w:r>
    </w:p>
    <w:p>
      <w:pPr>
        <w:pStyle w:val="ListParagraph"/>
        <w:numPr>
          <w:ilvl w:val="0"/>
          <w:numId w:val="1"/>
        </w:numPr>
        <w:rPr/>
      </w:pPr>
      <w:r>
        <w:rPr/>
        <w:t>критериями оценки также будут выступать: объём сделки, сложность сделки, сроки реализации;</w:t>
      </w:r>
    </w:p>
    <w:p>
      <w:pPr>
        <w:pStyle w:val="ListParagraph"/>
        <w:numPr>
          <w:ilvl w:val="0"/>
          <w:numId w:val="1"/>
        </w:numPr>
        <w:rPr/>
      </w:pPr>
      <w:r>
        <w:rPr/>
        <w:t>реализация сделки или её успешное завершение в течение предыдущих 12 месяцев.</w:t>
      </w:r>
    </w:p>
    <w:p>
      <w:pPr>
        <w:pStyle w:val="Normal"/>
        <w:spacing w:before="0" w:after="120"/>
        <w:jc w:val="both"/>
        <w:rPr/>
      </w:pPr>
      <w:r>
        <w:rPr>
          <w:b/>
          <w:bCs/>
        </w:rPr>
        <w:t xml:space="preserve">5.1.3.  </w:t>
      </w:r>
      <w:r>
        <w:rPr/>
        <w:t>Номинация «Управление денежными средствами»:</w:t>
      </w:r>
    </w:p>
    <w:p>
      <w:pPr>
        <w:pStyle w:val="ListParagraph"/>
        <w:numPr>
          <w:ilvl w:val="0"/>
          <w:numId w:val="1"/>
        </w:numPr>
        <w:rPr/>
      </w:pPr>
      <w:r>
        <w:rPr/>
        <w:t>централизованное управление отношениями с банками (в т.ч. выбор, согласование условий, установление кредитных лимитов);</w:t>
      </w:r>
    </w:p>
    <w:p>
      <w:pPr>
        <w:pStyle w:val="ListParagraph"/>
        <w:numPr>
          <w:ilvl w:val="0"/>
          <w:numId w:val="1"/>
        </w:numPr>
        <w:rPr/>
      </w:pPr>
      <w:r>
        <w:rPr/>
        <w:t>скользящее прогнозирование ликвидности компании;</w:t>
      </w:r>
    </w:p>
    <w:p>
      <w:pPr>
        <w:pStyle w:val="ListParagraph"/>
        <w:numPr>
          <w:ilvl w:val="0"/>
          <w:numId w:val="1"/>
        </w:numPr>
        <w:rPr/>
      </w:pPr>
      <w:r>
        <w:rPr/>
        <w:t>централизованный контроль и исполнение платежей;</w:t>
      </w:r>
    </w:p>
    <w:p>
      <w:pPr>
        <w:pStyle w:val="ListParagraph"/>
        <w:numPr>
          <w:ilvl w:val="0"/>
          <w:numId w:val="1"/>
        </w:numPr>
        <w:rPr/>
      </w:pPr>
      <w:r>
        <w:rPr/>
        <w:t>централизация свободных остатков денежных средств с использованием инструментов кэш-пулинга;</w:t>
      </w:r>
    </w:p>
    <w:p>
      <w:pPr>
        <w:pStyle w:val="ListParagraph"/>
        <w:numPr>
          <w:ilvl w:val="0"/>
          <w:numId w:val="1"/>
        </w:numPr>
        <w:rPr/>
      </w:pPr>
      <w:r>
        <w:rPr/>
        <w:t>централизованное размещение временно-свободных остатков денежных средств;</w:t>
      </w:r>
    </w:p>
    <w:p>
      <w:pPr>
        <w:pStyle w:val="ListParagraph"/>
        <w:numPr>
          <w:ilvl w:val="0"/>
          <w:numId w:val="1"/>
        </w:numPr>
        <w:rPr/>
      </w:pPr>
      <w:r>
        <w:rPr/>
        <w:t>централизованное привлечение краткосрочного финансирования;</w:t>
      </w:r>
    </w:p>
    <w:p>
      <w:pPr>
        <w:pStyle w:val="ListParagraph"/>
        <w:numPr>
          <w:ilvl w:val="0"/>
          <w:numId w:val="1"/>
        </w:numPr>
        <w:rPr/>
      </w:pPr>
      <w:r>
        <w:rPr/>
        <w:t>высокий уровень автоматизации казначейских процессов.</w:t>
      </w:r>
    </w:p>
    <w:p>
      <w:pPr>
        <w:pStyle w:val="Normal"/>
        <w:spacing w:before="0" w:after="120"/>
        <w:jc w:val="both"/>
        <w:rPr/>
      </w:pPr>
      <w:r>
        <w:rPr>
          <w:b/>
          <w:bCs/>
        </w:rPr>
        <w:t xml:space="preserve">5.1.4.  </w:t>
      </w:r>
      <w:r>
        <w:rPr/>
        <w:t>Номинация «Управление финансовыми рисками»:</w:t>
      </w:r>
    </w:p>
    <w:p>
      <w:pPr>
        <w:pStyle w:val="ListParagraph"/>
        <w:numPr>
          <w:ilvl w:val="0"/>
          <w:numId w:val="1"/>
        </w:numPr>
        <w:rPr/>
      </w:pPr>
      <w:r>
        <w:rPr/>
        <w:t>централизованное управление финансовыми рисками;</w:t>
      </w:r>
    </w:p>
    <w:p>
      <w:pPr>
        <w:pStyle w:val="ListParagraph"/>
        <w:numPr>
          <w:ilvl w:val="0"/>
          <w:numId w:val="1"/>
        </w:numPr>
        <w:rPr/>
      </w:pPr>
      <w:r>
        <w:rPr/>
        <w:t>наличие методологии и процедур оценки и регулярного мониторинга уровня риска;</w:t>
      </w:r>
    </w:p>
    <w:p>
      <w:pPr>
        <w:pStyle w:val="ListParagraph"/>
        <w:numPr>
          <w:ilvl w:val="0"/>
          <w:numId w:val="1"/>
        </w:numPr>
        <w:rPr/>
      </w:pPr>
      <w:r>
        <w:rPr/>
        <w:t>успешное применение инструментов хеджирования.</w:t>
      </w:r>
    </w:p>
    <w:p>
      <w:pPr>
        <w:pStyle w:val="Normal"/>
        <w:spacing w:before="0" w:after="120"/>
        <w:jc w:val="both"/>
        <w:rPr/>
      </w:pPr>
      <w:r>
        <w:rPr>
          <w:b/>
          <w:bCs/>
        </w:rPr>
        <w:t xml:space="preserve">5.1.5.  </w:t>
      </w:r>
      <w:r>
        <w:rPr/>
        <w:t>Номинация «Проект года в области автоматизации казначейской функции»:</w:t>
      </w:r>
    </w:p>
    <w:p>
      <w:pPr>
        <w:pStyle w:val="ListParagraph"/>
        <w:numPr>
          <w:ilvl w:val="0"/>
          <w:numId w:val="1"/>
        </w:numPr>
        <w:rPr/>
      </w:pPr>
      <w:r>
        <w:rPr/>
        <w:t>запуск и/или реализация проекта в области автоматизации казначейской функции в течение последних 12 месяцев;</w:t>
      </w:r>
    </w:p>
    <w:p>
      <w:pPr>
        <w:pStyle w:val="ListParagraph"/>
        <w:numPr>
          <w:ilvl w:val="0"/>
          <w:numId w:val="1"/>
        </w:numPr>
        <w:rPr/>
      </w:pPr>
      <w:r>
        <w:rPr/>
        <w:t>успешное выполнение поставленных задач и получение эффекта от внедрения изменений;</w:t>
      </w:r>
    </w:p>
    <w:p>
      <w:pPr>
        <w:pStyle w:val="ListParagraph"/>
        <w:numPr>
          <w:ilvl w:val="0"/>
          <w:numId w:val="1"/>
        </w:numPr>
        <w:rPr/>
      </w:pPr>
      <w:r>
        <w:rPr/>
        <w:t>критериями оценки будут выступать: сроки и стоимость проекта, сложность проекта, эффект от реализации проекта.</w:t>
      </w:r>
    </w:p>
    <w:p>
      <w:pPr>
        <w:pStyle w:val="Normal"/>
        <w:spacing w:before="0" w:after="120"/>
        <w:jc w:val="both"/>
        <w:rPr/>
      </w:pPr>
      <w:r>
        <w:rPr>
          <w:b/>
          <w:bCs/>
        </w:rPr>
        <w:t xml:space="preserve">5.1.6.  </w:t>
      </w:r>
      <w:r>
        <w:rPr/>
        <w:t>Номинация «Проект года в области наличного денежного обращения»:</w:t>
      </w:r>
    </w:p>
    <w:p>
      <w:pPr>
        <w:pStyle w:val="ListParagraph"/>
        <w:numPr>
          <w:ilvl w:val="0"/>
          <w:numId w:val="1"/>
        </w:numPr>
        <w:rPr/>
      </w:pPr>
      <w:r>
        <w:rPr/>
        <w:t>внедрение стратегий снижения издержек при обращении, обработке и рециркуляции наличных денег;</w:t>
      </w:r>
    </w:p>
    <w:p>
      <w:pPr>
        <w:pStyle w:val="ListParagraph"/>
        <w:numPr>
          <w:ilvl w:val="0"/>
          <w:numId w:val="1"/>
        </w:numPr>
        <w:rPr/>
      </w:pPr>
      <w:r>
        <w:rPr/>
        <w:t>автоматизация процессов инкассации и обработки наличности;</w:t>
      </w:r>
    </w:p>
    <w:p>
      <w:pPr>
        <w:pStyle w:val="ListParagraph"/>
        <w:numPr>
          <w:ilvl w:val="0"/>
          <w:numId w:val="1"/>
        </w:numPr>
        <w:rPr/>
      </w:pPr>
      <w:r>
        <w:rPr/>
        <w:t>прогнозирование, мониторинг и оптимизация наличных денежных потоков;</w:t>
      </w:r>
    </w:p>
    <w:p>
      <w:pPr>
        <w:pStyle w:val="ListParagraph"/>
        <w:numPr>
          <w:ilvl w:val="0"/>
          <w:numId w:val="1"/>
        </w:numPr>
        <w:rPr/>
      </w:pPr>
      <w:r>
        <w:rPr/>
        <w:t>внедрение банкоматов-ресайклеров и других устройств, осуществляющих приём и выдачу наличных по системе замкнутого цикла.</w:t>
      </w:r>
    </w:p>
    <w:p>
      <w:pPr>
        <w:pStyle w:val="Normal"/>
        <w:spacing w:before="0" w:after="120"/>
        <w:jc w:val="both"/>
        <w:rPr/>
      </w:pPr>
      <w:r>
        <w:rPr>
          <w:b/>
          <w:bCs/>
        </w:rPr>
        <w:t xml:space="preserve">5.1.7.  </w:t>
      </w:r>
      <w:r>
        <w:rPr/>
        <w:t>Номинация «Сделка года по привлечению финансирования с помощью ЦФА»:</w:t>
      </w:r>
    </w:p>
    <w:p>
      <w:pPr>
        <w:pStyle w:val="ListParagraph"/>
        <w:numPr>
          <w:ilvl w:val="0"/>
          <w:numId w:val="1"/>
        </w:numPr>
        <w:rPr/>
      </w:pPr>
      <w:r>
        <w:rPr/>
        <w:t>успешная реализация сделки с использованием цифровых финансовых активов в течение предыдущих 12 месяцев;</w:t>
      </w:r>
    </w:p>
    <w:p>
      <w:pPr>
        <w:pStyle w:val="ListParagraph"/>
        <w:numPr>
          <w:ilvl w:val="0"/>
          <w:numId w:val="1"/>
        </w:numPr>
        <w:rPr/>
      </w:pPr>
      <w:r>
        <w:rPr/>
        <w:t>критериями оценки будут выступать: объём сделки, инновационность, сложность структурирования, достигнутый экономический эффект.</w:t>
      </w:r>
    </w:p>
    <w:p>
      <w:pPr>
        <w:pStyle w:val="Normal"/>
        <w:spacing w:before="0" w:after="120"/>
        <w:jc w:val="both"/>
        <w:rPr/>
      </w:pPr>
      <w:r>
        <w:rPr>
          <w:b/>
          <w:bCs/>
        </w:rPr>
        <w:t xml:space="preserve">5.1.8.  </w:t>
      </w:r>
      <w:r>
        <w:rPr/>
        <w:t>Номинация «Сделка года на рынке торгового финансирования»:</w:t>
      </w:r>
    </w:p>
    <w:p>
      <w:pPr>
        <w:pStyle w:val="ListParagraph"/>
        <w:numPr>
          <w:ilvl w:val="0"/>
          <w:numId w:val="1"/>
        </w:numPr>
        <w:rPr/>
      </w:pPr>
      <w:r>
        <w:rPr/>
        <w:t>успешная реализация сделки в сфере торгового финансирования (аккредитивы, факторинг, форфейтинг, цепочки поставок) в течение предыдущих 12 месяцев;</w:t>
      </w:r>
    </w:p>
    <w:p>
      <w:pPr>
        <w:pStyle w:val="ListParagraph"/>
        <w:numPr>
          <w:ilvl w:val="0"/>
          <w:numId w:val="1"/>
        </w:numPr>
        <w:rPr/>
      </w:pPr>
      <w:r>
        <w:rPr/>
        <w:t>критериями оценки будут выступать: объём и сложность сделки, достигнутый результат.</w:t>
      </w:r>
    </w:p>
    <w:p>
      <w:pPr>
        <w:pStyle w:val="Normal"/>
        <w:spacing w:before="0" w:after="80"/>
        <w:rPr/>
      </w:pPr>
      <w:r>
        <w:rPr/>
      </w:r>
    </w:p>
    <w:p>
      <w:pPr>
        <w:pStyle w:val="Normal"/>
        <w:spacing w:before="0" w:after="120"/>
        <w:jc w:val="both"/>
        <w:rPr/>
      </w:pPr>
      <w:r>
        <w:rPr>
          <w:b/>
          <w:bCs/>
        </w:rPr>
        <w:t xml:space="preserve">5.1.9.  </w:t>
      </w:r>
      <w:r>
        <w:rPr/>
        <w:t>Номинация «Казначей года»:</w:t>
      </w:r>
    </w:p>
    <w:p>
      <w:pPr>
        <w:pStyle w:val="ListParagraph"/>
        <w:numPr>
          <w:ilvl w:val="0"/>
          <w:numId w:val="1"/>
        </w:numPr>
        <w:rPr/>
      </w:pPr>
      <w:r>
        <w:rPr/>
        <w:t>курирует функции управления денежными средствами и ликвидностью, корпоративные финансы и управление финансовыми рисками (наличие функционала в области корпоративных финансов и управления финансовыми рисками является преимуществом, но не является обязательным критерием);</w:t>
      </w:r>
    </w:p>
    <w:p>
      <w:pPr>
        <w:pStyle w:val="ListParagraph"/>
        <w:numPr>
          <w:ilvl w:val="0"/>
          <w:numId w:val="1"/>
        </w:numPr>
        <w:rPr/>
      </w:pPr>
      <w:r>
        <w:rPr/>
        <w:t>успешный опыт совершенствования и/или построения казначейской функции в компании;</w:t>
      </w:r>
    </w:p>
    <w:p>
      <w:pPr>
        <w:pStyle w:val="ListParagraph"/>
        <w:numPr>
          <w:ilvl w:val="0"/>
          <w:numId w:val="1"/>
        </w:numPr>
        <w:rPr/>
      </w:pPr>
      <w:r>
        <w:rPr/>
        <w:t>использование передовых решений в области управления казначейской функцией;</w:t>
      </w:r>
    </w:p>
    <w:p>
      <w:pPr>
        <w:pStyle w:val="ListParagraph"/>
        <w:numPr>
          <w:ilvl w:val="0"/>
          <w:numId w:val="1"/>
        </w:numPr>
        <w:rPr/>
      </w:pPr>
      <w:r>
        <w:rPr/>
        <w:t>реализация проектов по повышению эффективности казначейской функции в течение предыдущих 12 месяцев;</w:t>
      </w:r>
    </w:p>
    <w:p>
      <w:pPr>
        <w:pStyle w:val="ListParagraph"/>
        <w:numPr>
          <w:ilvl w:val="0"/>
          <w:numId w:val="1"/>
        </w:numPr>
        <w:rPr/>
      </w:pPr>
      <w:r>
        <w:rPr/>
        <w:t>наличие программы развития казначейской функции;</w:t>
      </w:r>
    </w:p>
    <w:p>
      <w:pPr>
        <w:pStyle w:val="ListParagraph"/>
        <w:numPr>
          <w:ilvl w:val="0"/>
          <w:numId w:val="1"/>
        </w:numPr>
        <w:rPr/>
      </w:pPr>
      <w:r>
        <w:rPr/>
        <w:t>активное участие в развитии практик по управлению казначейской функцией (приветствуется, но не является обязательным критерием);</w:t>
      </w:r>
    </w:p>
    <w:p>
      <w:pPr>
        <w:pStyle w:val="ListParagraph"/>
        <w:numPr>
          <w:ilvl w:val="0"/>
          <w:numId w:val="1"/>
        </w:numPr>
        <w:rPr/>
      </w:pPr>
      <w:r>
        <w:rPr/>
        <w:t>активное участие в деятельности и/или развитии Ассоциации корпоративных казначеев России (приветствуется, но не является обязательным критерием).</w:t>
      </w:r>
    </w:p>
    <w:p>
      <w:pPr>
        <w:pStyle w:val="Heading2"/>
        <w:rPr/>
      </w:pPr>
      <w:r>
        <w:rPr/>
        <w:t>5.2. Процедура определения победителя в номинациях.</w:t>
      </w:r>
    </w:p>
    <w:p>
      <w:pPr>
        <w:pStyle w:val="Normal"/>
        <w:spacing w:before="0" w:after="120"/>
        <w:jc w:val="both"/>
        <w:rPr/>
      </w:pPr>
      <w:r>
        <w:rPr>
          <w:b/>
          <w:bCs/>
        </w:rPr>
        <w:t xml:space="preserve">5.2.1.  </w:t>
      </w:r>
      <w:r>
        <w:rPr/>
        <w:t>Процедура определения победителя в номинации «Казначей года»:</w:t>
      </w:r>
    </w:p>
    <w:p>
      <w:pPr>
        <w:pStyle w:val="ListParagraph"/>
        <w:numPr>
          <w:ilvl w:val="0"/>
          <w:numId w:val="1"/>
        </w:numPr>
        <w:rPr/>
      </w:pPr>
      <w:r>
        <w:rPr/>
        <w:t>Секретарь Экспертного Совета Премии осуществляет проверку номинантов Премии на соответствие критериям, установленным настоящим Положением, и предоставляет «длинный список» кандидатов Экспертному совету;</w:t>
      </w:r>
    </w:p>
    <w:p>
      <w:pPr>
        <w:pStyle w:val="ListParagraph"/>
        <w:numPr>
          <w:ilvl w:val="0"/>
          <w:numId w:val="1"/>
        </w:numPr>
        <w:rPr/>
      </w:pPr>
      <w:r>
        <w:rPr/>
        <w:t>Для участия в Премии Экспертный совет формирует «короткий список» номинантов на основе следующих критериев:</w:t>
      </w:r>
    </w:p>
    <w:p>
      <w:pPr>
        <w:pStyle w:val="ListParagraph"/>
        <w:numPr>
          <w:ilvl w:val="0"/>
          <w:numId w:val="2"/>
        </w:numPr>
        <w:rPr/>
      </w:pPr>
      <w:r>
        <w:rPr/>
        <w:t>наиболее полное соответствие критериям по номинации;</w:t>
      </w:r>
    </w:p>
    <w:p>
      <w:pPr>
        <w:pStyle w:val="ListParagraph"/>
        <w:numPr>
          <w:ilvl w:val="0"/>
          <w:numId w:val="2"/>
        </w:numPr>
        <w:rPr/>
      </w:pPr>
      <w:r>
        <w:rPr/>
        <w:t>наиболее полное описание достигнутых результатов;</w:t>
      </w:r>
    </w:p>
    <w:p>
      <w:pPr>
        <w:pStyle w:val="ListParagraph"/>
        <w:numPr>
          <w:ilvl w:val="0"/>
          <w:numId w:val="2"/>
        </w:numPr>
        <w:rPr/>
      </w:pPr>
      <w:r>
        <w:rPr/>
        <w:t>возможность использования представленного опыта в качестве лучшей практики в рамках управления казначейской функцией;</w:t>
      </w:r>
    </w:p>
    <w:p>
      <w:pPr>
        <w:pStyle w:val="ListParagraph"/>
        <w:numPr>
          <w:ilvl w:val="0"/>
          <w:numId w:val="2"/>
        </w:numPr>
        <w:rPr/>
      </w:pPr>
      <w:r>
        <w:rPr/>
        <w:t>наличие сведений о достигнутых результатах в открытых источниках;</w:t>
      </w:r>
    </w:p>
    <w:p>
      <w:pPr>
        <w:pStyle w:val="ListParagraph"/>
        <w:numPr>
          <w:ilvl w:val="0"/>
          <w:numId w:val="2"/>
        </w:numPr>
        <w:rPr/>
      </w:pPr>
      <w:r>
        <w:rPr/>
        <w:t>соблюдение номинантом требований по подаче необходимой документации (сроки, качество информации, формат и т.д.).</w:t>
      </w:r>
    </w:p>
    <w:p>
      <w:pPr>
        <w:pStyle w:val="ListParagraph"/>
        <w:numPr>
          <w:ilvl w:val="0"/>
          <w:numId w:val="1"/>
        </w:numPr>
        <w:rPr/>
      </w:pPr>
      <w:r>
        <w:rPr/>
        <w:t>Для включения в «короткий список» номинант предоставляет своё согласие на участие в интервью с представителями Экспертного совета, а также своё согласие присутствовать на церемонии награждения победителей Премии;</w:t>
      </w:r>
    </w:p>
    <w:p>
      <w:pPr>
        <w:pStyle w:val="ListParagraph"/>
        <w:numPr>
          <w:ilvl w:val="0"/>
          <w:numId w:val="1"/>
        </w:numPr>
        <w:rPr/>
      </w:pPr>
      <w:r>
        <w:rPr/>
        <w:t>В случае выявления необходимости секретарь Экспертного совета Премии организует интервью с кандидатами на включение в «короткий список». Интервью проводится с целью уточнения информации о номинанте, а также сведений, полученных из открытых источников;</w:t>
      </w:r>
    </w:p>
    <w:p>
      <w:pPr>
        <w:pStyle w:val="ListParagraph"/>
        <w:numPr>
          <w:ilvl w:val="0"/>
          <w:numId w:val="1"/>
        </w:numPr>
        <w:rPr/>
      </w:pPr>
      <w:r>
        <w:rPr/>
        <w:t>Победитель в номинации «Казначей года» определяется путём открытого голосования профессионального сообщества на официальном сайте Премии (treasuryaward2025.ru). К участию в голосовании допускаются все представители профессионального сообщества в порядке, установленном разделом 6 настоящего Положения;</w:t>
      </w:r>
    </w:p>
    <w:p>
      <w:pPr>
        <w:pStyle w:val="ListParagraph"/>
        <w:numPr>
          <w:ilvl w:val="0"/>
          <w:numId w:val="1"/>
        </w:numPr>
        <w:rPr/>
      </w:pPr>
      <w:r>
        <w:rPr/>
        <w:t>По завершении голосования Секретарь Экспертного совета Премии производит сверку результатов голосования и обобщает итоги для последующего внесения в итоговый протокол Экспертного совета Премии.</w:t>
      </w:r>
    </w:p>
    <w:p>
      <w:pPr>
        <w:pStyle w:val="Normal"/>
        <w:spacing w:before="0" w:after="120"/>
        <w:jc w:val="both"/>
        <w:rPr/>
      </w:pPr>
      <w:r>
        <w:rPr>
          <w:b/>
          <w:bCs/>
        </w:rPr>
        <w:t xml:space="preserve">5.2.2.  </w:t>
      </w:r>
      <w:r>
        <w:rPr/>
        <w:t>Процедура определения победителя по прочим номинациям Премии (за исключением номинации «Казначей года»):</w:t>
      </w:r>
    </w:p>
    <w:p>
      <w:pPr>
        <w:pStyle w:val="ListParagraph"/>
        <w:numPr>
          <w:ilvl w:val="0"/>
          <w:numId w:val="1"/>
        </w:numPr>
        <w:rPr/>
      </w:pPr>
      <w:r>
        <w:rPr/>
        <w:t>Секретарь Экспертного Совета Премии осуществляет проверку номинантов Премии на соответствие критериям, установленным настоящим Положением, и предоставляет «длинный список» кандидатов Экспертному совету;</w:t>
      </w:r>
    </w:p>
    <w:p>
      <w:pPr>
        <w:pStyle w:val="ListParagraph"/>
        <w:numPr>
          <w:ilvl w:val="0"/>
          <w:numId w:val="1"/>
        </w:numPr>
        <w:rPr/>
      </w:pPr>
      <w:r>
        <w:rPr/>
        <w:t>Для участия в Премии Экспертный совет формирует «короткий список» номинантов на основе следующих критериев:</w:t>
      </w:r>
    </w:p>
    <w:p>
      <w:pPr>
        <w:pStyle w:val="ListParagraph"/>
        <w:numPr>
          <w:ilvl w:val="0"/>
          <w:numId w:val="2"/>
        </w:numPr>
        <w:rPr/>
      </w:pPr>
      <w:r>
        <w:rPr/>
        <w:t>наиболее полное соответствие критериям по номинации;</w:t>
      </w:r>
    </w:p>
    <w:p>
      <w:pPr>
        <w:pStyle w:val="ListParagraph"/>
        <w:numPr>
          <w:ilvl w:val="0"/>
          <w:numId w:val="2"/>
        </w:numPr>
        <w:rPr/>
      </w:pPr>
      <w:r>
        <w:rPr/>
        <w:t>наиболее полное описание достигнутых результатов;</w:t>
      </w:r>
    </w:p>
    <w:p>
      <w:pPr>
        <w:pStyle w:val="ListParagraph"/>
        <w:numPr>
          <w:ilvl w:val="0"/>
          <w:numId w:val="2"/>
        </w:numPr>
        <w:rPr/>
      </w:pPr>
      <w:r>
        <w:rPr/>
        <w:t>возможность использования представленного опыта в качестве лучшей практики;</w:t>
      </w:r>
    </w:p>
    <w:p>
      <w:pPr>
        <w:pStyle w:val="ListParagraph"/>
        <w:numPr>
          <w:ilvl w:val="0"/>
          <w:numId w:val="2"/>
        </w:numPr>
        <w:rPr/>
      </w:pPr>
      <w:r>
        <w:rPr/>
        <w:t>наличие сведений о достигнутых результатах в открытых источниках;</w:t>
      </w:r>
    </w:p>
    <w:p>
      <w:pPr>
        <w:pStyle w:val="ListParagraph"/>
        <w:numPr>
          <w:ilvl w:val="0"/>
          <w:numId w:val="2"/>
        </w:numPr>
        <w:rPr/>
      </w:pPr>
      <w:r>
        <w:rPr/>
        <w:t>соблюдение номинантом требований по подаче необходимой документации.</w:t>
      </w:r>
    </w:p>
    <w:p>
      <w:pPr>
        <w:pStyle w:val="ListParagraph"/>
        <w:numPr>
          <w:ilvl w:val="0"/>
          <w:numId w:val="1"/>
        </w:numPr>
        <w:rPr/>
      </w:pPr>
      <w:r>
        <w:rPr/>
        <w:t>Выбор победителя в номинации осуществляется Экспертным советом из числа номинантов «короткого списка» путём голосования. Голосование организует Секретарь Экспертного совета при поддержке Организационного комитета;</w:t>
      </w:r>
    </w:p>
    <w:p>
      <w:pPr>
        <w:pStyle w:val="ListParagraph"/>
        <w:numPr>
          <w:ilvl w:val="0"/>
          <w:numId w:val="1"/>
        </w:numPr>
        <w:rPr/>
      </w:pPr>
      <w:r>
        <w:rPr/>
        <w:t>Процесс голосования представляет собой присвоение номинантам рангов от 1 до N, где N - количество номинантов в списке, а 1 - высший ранг;</w:t>
      </w:r>
    </w:p>
    <w:p>
      <w:pPr>
        <w:pStyle w:val="ListParagraph"/>
        <w:numPr>
          <w:ilvl w:val="0"/>
          <w:numId w:val="1"/>
        </w:numPr>
        <w:rPr/>
      </w:pPr>
      <w:r>
        <w:rPr/>
        <w:t>По завершении голосования Секретарь Экспертного совета Премии производит подсчёт рангов и обобщает результаты голосования для последующего внесения в итоговый протокол Экспертного совета Премии.</w:t>
      </w:r>
    </w:p>
    <w:p>
      <w:pPr>
        <w:pStyle w:val="Normal"/>
        <w:spacing w:before="0" w:after="80"/>
        <w:rPr/>
      </w:pPr>
      <w:r>
        <w:rPr/>
      </w:r>
    </w:p>
    <w:p>
      <w:pPr>
        <w:pStyle w:val="Heading1"/>
        <w:rPr/>
      </w:pPr>
      <w:r>
        <w:rPr/>
        <w:t>6. ОТКРЫТОЕ ГОЛОСОВАНИЕ ЗА НОМИНАЦИЮ «КАЗНАЧЕЙ ГОДА»</w:t>
      </w:r>
    </w:p>
    <w:p>
      <w:pPr>
        <w:pStyle w:val="Normal"/>
        <w:spacing w:before="0" w:after="120"/>
        <w:jc w:val="both"/>
        <w:rPr/>
      </w:pPr>
      <w:r>
        <w:rPr>
          <w:b/>
          <w:bCs/>
        </w:rPr>
        <w:t xml:space="preserve">6.1.  </w:t>
      </w:r>
      <w:r>
        <w:rPr/>
        <w:t>Победитель в номинации «Казначей года» определяется посредством открытого голосования профессионального сообщества. Голосование проводится на официальном сайте Премии по адресу: treasuryaward2025.ru (далее - «Сайт Голосования»).</w:t>
      </w:r>
    </w:p>
    <w:p>
      <w:pPr>
        <w:pStyle w:val="Heading2"/>
        <w:rPr/>
      </w:pPr>
      <w:r>
        <w:rPr/>
        <w:t>6.2. Порядок голосования.</w:t>
      </w:r>
    </w:p>
    <w:p>
      <w:pPr>
        <w:pStyle w:val="Normal"/>
        <w:spacing w:before="0" w:after="120"/>
        <w:jc w:val="both"/>
        <w:rPr/>
      </w:pPr>
      <w:r>
        <w:rPr>
          <w:b/>
          <w:bCs/>
        </w:rPr>
        <w:t xml:space="preserve">6.2.1.  </w:t>
      </w:r>
      <w:r>
        <w:rPr/>
        <w:t>Период голосования устанавливается Организационным комитетом и публикуется на Сайте Голосования. Голосование открывается и закрывается автоматически по наступлении соответствующих дат и времени.</w:t>
      </w:r>
    </w:p>
    <w:p>
      <w:pPr>
        <w:pStyle w:val="Normal"/>
        <w:spacing w:before="0" w:after="120"/>
        <w:jc w:val="both"/>
        <w:rPr/>
      </w:pPr>
      <w:r>
        <w:rPr>
          <w:b/>
          <w:bCs/>
        </w:rPr>
        <w:t xml:space="preserve">6.2.2.  </w:t>
      </w:r>
      <w:r>
        <w:rPr/>
        <w:t>На странице голосования размещаются карточки всех кандидатов из «короткого списка», сформированного Экспертным советом. Карточки отображаются в случайном порядке при каждом открытии страницы для обеспечения равных условий всем кандидатам. Каждая карточка содержит фото, ФИО, должность, компанию и краткое описание достижений кандидата.</w:t>
      </w:r>
    </w:p>
    <w:p>
      <w:pPr>
        <w:pStyle w:val="Normal"/>
        <w:spacing w:before="0" w:after="120"/>
        <w:jc w:val="both"/>
        <w:rPr/>
      </w:pPr>
      <w:r>
        <w:rPr>
          <w:b/>
          <w:bCs/>
        </w:rPr>
        <w:t xml:space="preserve">6.2.3.  </w:t>
      </w:r>
      <w:r>
        <w:rPr/>
        <w:t>Для голосования участник нажимает кнопку «Проголосовать» на карточке выбранного кандидата и заполняет форму идентификации.</w:t>
      </w:r>
    </w:p>
    <w:p>
      <w:pPr>
        <w:pStyle w:val="Heading2"/>
        <w:rPr/>
      </w:pPr>
      <w:r>
        <w:rPr/>
        <w:t>6.3. Идентификация голосующего и защита от накрутки.</w:t>
      </w:r>
    </w:p>
    <w:p>
      <w:pPr>
        <w:pStyle w:val="Normal"/>
        <w:spacing w:before="0" w:after="120"/>
        <w:jc w:val="both"/>
        <w:rPr/>
      </w:pPr>
      <w:r>
        <w:rPr>
          <w:b/>
          <w:bCs/>
        </w:rPr>
        <w:t xml:space="preserve">6.3.1.  </w:t>
      </w:r>
      <w:r>
        <w:rPr/>
        <w:t>Голосование не является анонимным. Для подачи голоса участник обязан предоставить следующие сведения:</w:t>
      </w:r>
    </w:p>
    <w:p>
      <w:pPr>
        <w:pStyle w:val="ListParagraph"/>
        <w:numPr>
          <w:ilvl w:val="0"/>
          <w:numId w:val="1"/>
        </w:numPr>
        <w:rPr/>
      </w:pPr>
      <w:r>
        <w:rPr/>
        <w:t>ФИО;</w:t>
      </w:r>
    </w:p>
    <w:p>
      <w:pPr>
        <w:pStyle w:val="ListParagraph"/>
        <w:numPr>
          <w:ilvl w:val="0"/>
          <w:numId w:val="1"/>
        </w:numPr>
        <w:rPr/>
      </w:pPr>
      <w:r>
        <w:rPr/>
        <w:t>компания;</w:t>
      </w:r>
    </w:p>
    <w:p>
      <w:pPr>
        <w:pStyle w:val="ListParagraph"/>
        <w:numPr>
          <w:ilvl w:val="0"/>
          <w:numId w:val="1"/>
        </w:numPr>
        <w:rPr/>
      </w:pPr>
      <w:r>
        <w:rPr/>
        <w:t>должность;</w:t>
      </w:r>
    </w:p>
    <w:p>
      <w:pPr>
        <w:pStyle w:val="ListParagraph"/>
        <w:numPr>
          <w:ilvl w:val="0"/>
          <w:numId w:val="1"/>
        </w:numPr>
        <w:rPr/>
      </w:pPr>
      <w:r>
        <w:rPr/>
        <w:t>адрес электронной почты;</w:t>
      </w:r>
    </w:p>
    <w:p>
      <w:pPr>
        <w:pStyle w:val="ListParagraph"/>
        <w:numPr>
          <w:ilvl w:val="0"/>
          <w:numId w:val="1"/>
        </w:numPr>
        <w:rPr/>
      </w:pPr>
      <w:r>
        <w:rPr/>
        <w:t>номер мобильного телефона.</w:t>
      </w:r>
    </w:p>
    <w:p>
      <w:pPr>
        <w:pStyle w:val="Normal"/>
        <w:spacing w:before="0" w:after="120"/>
        <w:jc w:val="both"/>
        <w:rPr/>
      </w:pPr>
      <w:r>
        <w:rPr>
          <w:b/>
          <w:bCs/>
        </w:rPr>
        <w:t xml:space="preserve">6.3.2.  </w:t>
      </w:r>
      <w:r>
        <w:rPr/>
        <w:t>Система голосования применяет трёхуровневую защиту от злоупотреблений:</w:t>
      </w:r>
    </w:p>
    <w:p>
      <w:pPr>
        <w:pStyle w:val="Normal"/>
        <w:spacing w:before="0" w:after="100"/>
        <w:ind w:left="720"/>
        <w:jc w:val="both"/>
        <w:rPr/>
      </w:pPr>
      <w:r>
        <w:rPr/>
        <w:t>Уровень 1 - Обязательная идентификация: все поля формы являются обязательными. Система обеспечивает правило «один голос с одного адреса электронной почты» и «один голос с одного номера телефона». Изменение одного из реквизитов при повторной попытке не позволяет обойти ограничение.</w:t>
      </w:r>
    </w:p>
    <w:p>
      <w:pPr>
        <w:pStyle w:val="Normal"/>
        <w:spacing w:before="0" w:after="100"/>
        <w:ind w:left="720"/>
        <w:jc w:val="both"/>
        <w:rPr/>
      </w:pPr>
      <w:r>
        <w:rPr/>
        <w:t>Уровень 2 - SMS-верификация: после заполнения формы на указанный номер мобильного телефона направляется одноразовый код подтверждения посредством SMS-сообщения. Голос засчитывается только после успешного ввода полученного кода. Повторная отправка кода допускается не чаще одного раза в 60 секунд. Код действителен в течение 10 минут с момента отправки.</w:t>
      </w:r>
    </w:p>
    <w:p>
      <w:pPr>
        <w:pStyle w:val="Normal"/>
        <w:spacing w:before="0" w:after="120"/>
        <w:ind w:left="720"/>
        <w:jc w:val="both"/>
        <w:rPr/>
      </w:pPr>
      <w:r>
        <w:rPr/>
        <w:t>Уровень 3 - Технические ограничения: система применяет защиту от автоматизированных запросов (CAPTCHA), ограничивает количество попыток голосования с одного IP-адреса и блокирует подозрительную активность.</w:t>
      </w:r>
    </w:p>
    <w:p>
      <w:pPr>
        <w:pStyle w:val="Normal"/>
        <w:spacing w:before="0" w:after="120"/>
        <w:jc w:val="both"/>
        <w:rPr/>
      </w:pPr>
      <w:r>
        <w:rPr>
          <w:b/>
          <w:bCs/>
        </w:rPr>
        <w:t xml:space="preserve">6.3.3.  </w:t>
      </w:r>
      <w:r>
        <w:rPr/>
        <w:t>Участник голосования обязан предоставить достоверные сведения о себе. Подача голоса с использованием ложных или чужих данных является нарушением настоящего Положения и влечёт аннулирование такого голоса.</w:t>
      </w:r>
    </w:p>
    <w:p>
      <w:pPr>
        <w:pStyle w:val="Normal"/>
        <w:spacing w:before="0" w:after="120"/>
        <w:jc w:val="both"/>
        <w:rPr/>
      </w:pPr>
      <w:r>
        <w:rPr>
          <w:b/>
          <w:bCs/>
        </w:rPr>
        <w:t xml:space="preserve">6.3.4.  </w:t>
      </w:r>
      <w:r>
        <w:rPr/>
        <w:t>Каждый участник вправе подать только один голос. Повторное голосование с того же адреса электронной почты или номера телефона блокируется системой автоматически.</w:t>
      </w:r>
    </w:p>
    <w:p>
      <w:pPr>
        <w:pStyle w:val="Heading2"/>
        <w:rPr/>
      </w:pPr>
      <w:r>
        <w:rPr/>
        <w:t>6.4. Подтверждение и результаты голосования.</w:t>
      </w:r>
    </w:p>
    <w:p>
      <w:pPr>
        <w:pStyle w:val="Normal"/>
        <w:spacing w:before="0" w:after="120"/>
        <w:jc w:val="both"/>
        <w:rPr/>
      </w:pPr>
      <w:r>
        <w:rPr>
          <w:b/>
          <w:bCs/>
        </w:rPr>
        <w:t xml:space="preserve">6.4.1.  </w:t>
      </w:r>
      <w:r>
        <w:rPr/>
        <w:t>После успешного прохождения SMS-верификации участнику отображается экран подтверждения с указанием ФИО кандидата, за которого подан голос.</w:t>
      </w:r>
    </w:p>
    <w:p>
      <w:pPr>
        <w:pStyle w:val="Normal"/>
        <w:spacing w:before="0" w:after="120"/>
        <w:jc w:val="both"/>
        <w:rPr/>
      </w:pPr>
      <w:r>
        <w:rPr>
          <w:b/>
          <w:bCs/>
        </w:rPr>
        <w:t xml:space="preserve">6.4.2.  </w:t>
      </w:r>
      <w:r>
        <w:rPr/>
        <w:t>При попытке повторного голосования участник получает уведомление о том, что его голос уже был учтён.</w:t>
      </w:r>
    </w:p>
    <w:p>
      <w:pPr>
        <w:pStyle w:val="Normal"/>
        <w:spacing w:before="0" w:after="120"/>
        <w:jc w:val="both"/>
        <w:rPr/>
      </w:pPr>
      <w:r>
        <w:rPr>
          <w:b/>
          <w:bCs/>
        </w:rPr>
        <w:t xml:space="preserve">6.4.3.  </w:t>
      </w:r>
      <w:r>
        <w:rPr/>
        <w:t>По окончании периода голосования кнопка голосования деактивируется автоматически. Список кандидатов остаётся доступен для просмотра.</w:t>
      </w:r>
    </w:p>
    <w:p>
      <w:pPr>
        <w:pStyle w:val="Normal"/>
        <w:spacing w:before="0" w:after="120"/>
        <w:jc w:val="both"/>
        <w:rPr/>
      </w:pPr>
      <w:r>
        <w:rPr>
          <w:b/>
          <w:bCs/>
        </w:rPr>
        <w:t xml:space="preserve">6.4.4.  </w:t>
      </w:r>
      <w:r>
        <w:rPr/>
        <w:t>Итоги голосования не публикуются в открытом доступе до момента завершения церемонии награждения. Победитель объявляется на церемонии.</w:t>
      </w:r>
    </w:p>
    <w:p>
      <w:pPr>
        <w:pStyle w:val="Normal"/>
        <w:spacing w:before="0" w:after="120"/>
        <w:jc w:val="both"/>
        <w:rPr/>
      </w:pPr>
      <w:r>
        <w:rPr>
          <w:b/>
          <w:bCs/>
        </w:rPr>
        <w:t xml:space="preserve">6.4.5.  </w:t>
      </w:r>
      <w:r>
        <w:rPr/>
        <w:t>Организационный комитет и Экспертный совет вправе проверить достоверность результатов голосования. В случае выявления систематических злоупотреблений Организационный комитет вправе аннулировать соответствующие голоса с соответствующим обоснованием, занесённым в протокол.</w:t>
      </w:r>
    </w:p>
    <w:p>
      <w:pPr>
        <w:pStyle w:val="Heading2"/>
        <w:rPr/>
      </w:pPr>
      <w:r>
        <w:rPr/>
        <w:t>6.5. Обработка персональных данных участников голосования.</w:t>
      </w:r>
    </w:p>
    <w:p>
      <w:pPr>
        <w:pStyle w:val="Normal"/>
        <w:spacing w:before="0" w:after="120"/>
        <w:jc w:val="both"/>
        <w:rPr/>
      </w:pPr>
      <w:r>
        <w:rPr>
          <w:b/>
          <w:bCs/>
        </w:rPr>
        <w:t xml:space="preserve">6.5.1.  </w:t>
      </w:r>
      <w:r>
        <w:rPr/>
        <w:t>Персональные данные, предоставленные участниками голосования, обрабатываются исключительно в целях проведения Премии и верификации голосов в соответствии с Федеральным законом от 27.07.2006 № 152-ФЗ «О персональных данных».</w:t>
      </w:r>
    </w:p>
    <w:p>
      <w:pPr>
        <w:pStyle w:val="Normal"/>
        <w:spacing w:before="0" w:after="120"/>
        <w:jc w:val="both"/>
        <w:rPr/>
      </w:pPr>
      <w:r>
        <w:rPr>
          <w:b/>
          <w:bCs/>
        </w:rPr>
        <w:t xml:space="preserve">6.5.2.  </w:t>
      </w:r>
      <w:r>
        <w:rPr/>
        <w:t>Данные участников голосования хранятся на серверах Организационного комитета и не передаются третьим лицам, за исключением случаев, предусмотренных действующим законодательством Российской Федерации.</w:t>
      </w:r>
    </w:p>
    <w:p>
      <w:pPr>
        <w:pStyle w:val="Normal"/>
        <w:spacing w:before="0" w:after="120"/>
        <w:jc w:val="both"/>
        <w:rPr/>
      </w:pPr>
      <w:r>
        <w:rPr>
          <w:b/>
          <w:bCs/>
        </w:rPr>
        <w:t xml:space="preserve">6.5.3.  </w:t>
      </w:r>
      <w:r>
        <w:rPr/>
        <w:t>Заполняя форму голосования, участник даёт согласие на обработку своих персональных данных в порядке и на условиях, предусмотренных Политикой конфиденциальности, размещённой на Сайте Голосования.</w:t>
      </w:r>
    </w:p>
    <w:p>
      <w:pPr>
        <w:pStyle w:val="Normal"/>
        <w:spacing w:before="0" w:after="80"/>
        <w:rPr/>
      </w:pPr>
      <w:r>
        <w:rPr/>
      </w:r>
    </w:p>
    <w:p>
      <w:pPr>
        <w:pStyle w:val="Heading1"/>
        <w:rPr/>
      </w:pPr>
      <w:r>
        <w:rPr/>
        <w:t>7. НАГРАЖДЕНИЕ ПОБЕДИТЕЛЕЙ И ЛАУРЕАТОВ ПРЕМИИ</w:t>
      </w:r>
    </w:p>
    <w:p>
      <w:pPr>
        <w:pStyle w:val="Normal"/>
        <w:spacing w:before="0" w:after="120"/>
        <w:jc w:val="both"/>
        <w:rPr/>
      </w:pPr>
      <w:r>
        <w:rPr>
          <w:b/>
          <w:bCs/>
        </w:rPr>
        <w:t xml:space="preserve">7.1.  </w:t>
      </w:r>
      <w:r>
        <w:rPr/>
        <w:t>Церемония награждения победителей и лауреатов Премии проводится в торжественной обстановке в присутствии видных представителей бизнес-сообщества, органов государственной власти и экспертов. Срок и место проведения церемонии награждения утверждаются Организационным комитетом.</w:t>
      </w:r>
    </w:p>
    <w:p>
      <w:pPr>
        <w:pStyle w:val="Normal"/>
        <w:spacing w:before="0" w:after="120"/>
        <w:jc w:val="both"/>
        <w:rPr/>
      </w:pPr>
      <w:r>
        <w:rPr>
          <w:b/>
          <w:bCs/>
        </w:rPr>
        <w:t xml:space="preserve">7.2.  </w:t>
      </w:r>
      <w:r>
        <w:rPr/>
        <w:t>Имена победителей и лауреатов Премии не разглашаются вплоть до момента вручения им наград Премии.</w:t>
      </w:r>
    </w:p>
    <w:p>
      <w:pPr>
        <w:pStyle w:val="Normal"/>
        <w:spacing w:before="0" w:after="120"/>
        <w:jc w:val="both"/>
        <w:rPr/>
      </w:pPr>
      <w:r>
        <w:rPr>
          <w:b/>
          <w:bCs/>
        </w:rPr>
        <w:t xml:space="preserve">7.3.  </w:t>
      </w:r>
      <w:r>
        <w:rPr/>
        <w:t>Непременным условием вручения награды Премии является личное присутствие на церемонии вручения победителя или лауреата либо уполномоченного им лица.</w:t>
      </w:r>
    </w:p>
    <w:p>
      <w:pPr>
        <w:pStyle w:val="Normal"/>
        <w:spacing w:before="0" w:after="120"/>
        <w:jc w:val="both"/>
        <w:rPr/>
      </w:pPr>
      <w:r>
        <w:rPr>
          <w:b/>
          <w:bCs/>
        </w:rPr>
        <w:t xml:space="preserve">7.4.  </w:t>
      </w:r>
      <w:r>
        <w:rPr/>
        <w:t>В случае отсутствия победителя или лауреата Премии либо уполномоченного им лица результаты присуждения Премии торжественно оглашаются, после чего Организационный комитет изыскивает возможность в дальнейшем передать адресату награду Премии.</w:t>
      </w:r>
    </w:p>
    <w:p>
      <w:pPr>
        <w:pStyle w:val="Normal"/>
        <w:spacing w:before="0" w:after="120"/>
        <w:jc w:val="both"/>
        <w:rPr/>
      </w:pPr>
      <w:r>
        <w:rPr>
          <w:b/>
          <w:bCs/>
        </w:rPr>
        <w:t xml:space="preserve">7.5.  </w:t>
      </w:r>
      <w:r>
        <w:rPr/>
        <w:t>Победителю Премии по номинации вручается награда и почётный диплом, лауреатам Премии вручаются почётные дипломы.</w:t>
      </w:r>
    </w:p>
    <w:p>
      <w:pPr>
        <w:pStyle w:val="Normal"/>
        <w:spacing w:before="0" w:after="120"/>
        <w:jc w:val="both"/>
        <w:rPr/>
      </w:pPr>
      <w:r>
        <w:rPr>
          <w:b/>
          <w:bCs/>
        </w:rPr>
        <w:t xml:space="preserve">7.6.  </w:t>
      </w:r>
      <w:r>
        <w:rPr/>
        <w:t>Лица, чьи заявки прошли проверку Секретарём Экспертного совета и включены в официальный список номинантов, получают персональное приглашение на церемонию награждения. Приглашение направляется Организационным комитетом после официального подтверждения статуса номинанта. Подача заявки сама по себе не является основанием для получения приглашения. Дополнительная регистрация для подтверждённых номинантов не требуется.</w:t>
      </w:r>
    </w:p>
    <w:p>
      <w:pPr>
        <w:pStyle w:val="Normal"/>
        <w:spacing w:before="0" w:after="80"/>
        <w:rPr/>
      </w:pPr>
      <w:r>
        <w:rPr/>
      </w:r>
    </w:p>
    <w:p>
      <w:pPr>
        <w:pStyle w:val="Normal"/>
        <w:pBdr>
          <w:top w:val="single" w:sz="6" w:space="0" w:color="CCCCCC"/>
        </w:pBdr>
        <w:spacing w:before="480" w:after="120"/>
        <w:jc w:val="center"/>
        <w:rPr/>
      </w:pPr>
      <w:r>
        <w:rPr>
          <w:color w:val="888888"/>
          <w:sz w:val="20"/>
          <w:szCs w:val="20"/>
        </w:rPr>
        <w:t>Ассоциация корпоративных казначеев России</w:t>
      </w:r>
    </w:p>
    <w:p>
      <w:pPr>
        <w:pStyle w:val="Normal"/>
        <w:jc w:val="center"/>
        <w:rPr>
          <w:lang w:val="en-US"/>
        </w:rPr>
      </w:pPr>
      <w:r>
        <w:rPr>
          <w:color w:val="888888"/>
          <w:sz w:val="20"/>
          <w:szCs w:val="20"/>
          <w:lang w:val="en-US"/>
        </w:rPr>
        <w:t>www.corptreasury.ru  |  treasuryaward2025.ru  |  award@corptreasury.ru</w:t>
      </w:r>
    </w:p>
    <w:sectPr>
      <w:footerReference w:type="even" r:id="rId2"/>
      <w:footerReference w:type="default" r:id="rId3"/>
      <w:footerReference w:type="first" r:id="rId4"/>
      <w:type w:val="nextPage"/>
      <w:pgSz w:w="11906" w:h="16838"/>
      <w:pgMar w:left="180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color w:val="888888"/>
        <w:sz w:val="20"/>
        <w:szCs w:val="20"/>
      </w:rPr>
      <w:t xml:space="preserve">Страница </w:t>
    </w:r>
    <w:r>
      <w:rPr>
        <w:color w:val="888888"/>
        <w:sz w:val="20"/>
        <w:szCs w:val="20"/>
      </w:rPr>
      <w:fldChar w:fldCharType="begin"/>
    </w:r>
    <w:r>
      <w:rPr>
        <w:sz w:val="20"/>
        <w:szCs w:val="20"/>
        <w:color w:val="888888"/>
      </w:rPr>
      <w:instrText xml:space="preserve"> PAGE </w:instrText>
    </w:r>
    <w:r>
      <w:rPr>
        <w:sz w:val="20"/>
        <w:szCs w:val="20"/>
        <w:color w:val="888888"/>
      </w:rPr>
      <w:fldChar w:fldCharType="separate"/>
    </w:r>
    <w:r>
      <w:rPr>
        <w:sz w:val="20"/>
        <w:szCs w:val="20"/>
        <w:color w:val="888888"/>
      </w:rPr>
      <w:t>10</w:t>
    </w:r>
    <w:r>
      <w:rPr>
        <w:sz w:val="20"/>
        <w:szCs w:val="20"/>
        <w:color w:val="888888"/>
      </w:rPr>
      <w:fldChar w:fldCharType="end"/>
    </w:r>
    <w:r>
      <w:rPr>
        <w:color w:val="888888"/>
        <w:sz w:val="20"/>
        <w:szCs w:val="20"/>
      </w:rPr>
      <w:t xml:space="preserve"> из </w:t>
    </w:r>
    <w:r>
      <w:rPr>
        <w:color w:val="888888"/>
        <w:sz w:val="20"/>
        <w:szCs w:val="20"/>
      </w:rPr>
      <w:fldChar w:fldCharType="begin"/>
    </w:r>
    <w:r>
      <w:rPr>
        <w:sz w:val="20"/>
        <w:szCs w:val="20"/>
        <w:color w:val="888888"/>
      </w:rPr>
      <w:instrText xml:space="preserve"> NUMPAGES </w:instrText>
    </w:r>
    <w:r>
      <w:rPr>
        <w:sz w:val="20"/>
        <w:szCs w:val="20"/>
        <w:color w:val="888888"/>
      </w:rPr>
      <w:fldChar w:fldCharType="separate"/>
    </w:r>
    <w:r>
      <w:rPr>
        <w:sz w:val="20"/>
        <w:szCs w:val="20"/>
        <w:color w:val="888888"/>
      </w:rPr>
      <w:t>10</w:t>
    </w:r>
    <w:r>
      <w:rPr>
        <w:sz w:val="20"/>
        <w:szCs w:val="20"/>
        <w:color w:val="88888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color w:val="888888"/>
        <w:sz w:val="20"/>
        <w:szCs w:val="20"/>
      </w:rPr>
      <w:t xml:space="preserve">Страница </w:t>
    </w:r>
    <w:r>
      <w:rPr>
        <w:color w:val="888888"/>
        <w:sz w:val="20"/>
        <w:szCs w:val="20"/>
      </w:rPr>
      <w:fldChar w:fldCharType="begin"/>
    </w:r>
    <w:r>
      <w:rPr>
        <w:sz w:val="20"/>
        <w:szCs w:val="20"/>
        <w:color w:val="888888"/>
      </w:rPr>
      <w:instrText xml:space="preserve"> PAGE </w:instrText>
    </w:r>
    <w:r>
      <w:rPr>
        <w:sz w:val="20"/>
        <w:szCs w:val="20"/>
        <w:color w:val="888888"/>
      </w:rPr>
      <w:fldChar w:fldCharType="separate"/>
    </w:r>
    <w:r>
      <w:rPr>
        <w:sz w:val="20"/>
        <w:szCs w:val="20"/>
        <w:color w:val="888888"/>
      </w:rPr>
      <w:t>10</w:t>
    </w:r>
    <w:r>
      <w:rPr>
        <w:sz w:val="20"/>
        <w:szCs w:val="20"/>
        <w:color w:val="888888"/>
      </w:rPr>
      <w:fldChar w:fldCharType="end"/>
    </w:r>
    <w:r>
      <w:rPr>
        <w:color w:val="888888"/>
        <w:sz w:val="20"/>
        <w:szCs w:val="20"/>
      </w:rPr>
      <w:t xml:space="preserve"> из </w:t>
    </w:r>
    <w:r>
      <w:rPr>
        <w:color w:val="888888"/>
        <w:sz w:val="20"/>
        <w:szCs w:val="20"/>
      </w:rPr>
      <w:fldChar w:fldCharType="begin"/>
    </w:r>
    <w:r>
      <w:rPr>
        <w:sz w:val="20"/>
        <w:szCs w:val="20"/>
        <w:color w:val="888888"/>
      </w:rPr>
      <w:instrText xml:space="preserve"> NUMPAGES </w:instrText>
    </w:r>
    <w:r>
      <w:rPr>
        <w:sz w:val="20"/>
        <w:szCs w:val="20"/>
        <w:color w:val="888888"/>
      </w:rPr>
      <w:fldChar w:fldCharType="separate"/>
    </w:r>
    <w:r>
      <w:rPr>
        <w:sz w:val="20"/>
        <w:szCs w:val="20"/>
        <w:color w:val="888888"/>
      </w:rPr>
      <w:t>10</w:t>
    </w:r>
    <w:r>
      <w:rPr>
        <w:sz w:val="20"/>
        <w:szCs w:val="20"/>
        <w:color w:val="888888"/>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108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 w:numId="5">
    <w:abstractNumId w:val="2"/>
    <w:lvlOverride w:ilvl="0">
      <w:startOverride w:val="1"/>
    </w:lvlOverride>
  </w:num>
</w:numbering>
</file>

<file path=word/settings.xml><?xml version="1.0" encoding="utf-8"?>
<w:settings xmlns:w="http://schemas.openxmlformats.org/wordprocessingml/2006/main">
  <w:zoom w:percent="100"/>
  <w:trackRevision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222222"/>
        <w:sz w:val="24"/>
        <w:szCs w:val="24"/>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222222"/>
      <w:kern w:val="0"/>
      <w:sz w:val="24"/>
      <w:szCs w:val="24"/>
      <w:lang w:val="ru-RU" w:eastAsia="ru-RU" w:bidi="ar-SA"/>
    </w:rPr>
  </w:style>
  <w:style w:type="paragraph" w:styleId="Heading1">
    <w:name w:val="Heading 1"/>
    <w:uiPriority w:val="9"/>
    <w:qFormat/>
    <w:pPr>
      <w:widowControl/>
      <w:bidi w:val="0"/>
      <w:spacing w:before="320" w:after="160"/>
      <w:jc w:val="left"/>
      <w:outlineLvl w:val="0"/>
    </w:pPr>
    <w:rPr>
      <w:rFonts w:ascii="Times New Roman" w:hAnsi="Times New Roman" w:eastAsia="Times New Roman" w:cs="Times New Roman"/>
      <w:b/>
      <w:bCs/>
      <w:color w:val="000000"/>
      <w:kern w:val="0"/>
      <w:sz w:val="28"/>
      <w:szCs w:val="28"/>
      <w:lang w:val="ru-RU" w:eastAsia="ru-RU" w:bidi="ar-SA"/>
    </w:rPr>
  </w:style>
  <w:style w:type="paragraph" w:styleId="Heading2">
    <w:name w:val="Heading 2"/>
    <w:uiPriority w:val="9"/>
    <w:unhideWhenUsed/>
    <w:qFormat/>
    <w:pPr>
      <w:widowControl/>
      <w:bidi w:val="0"/>
      <w:spacing w:before="240" w:after="120"/>
      <w:jc w:val="left"/>
      <w:outlineLvl w:val="1"/>
    </w:pPr>
    <w:rPr>
      <w:rFonts w:ascii="Times New Roman" w:hAnsi="Times New Roman" w:eastAsia="Times New Roman" w:cs="Times New Roman"/>
      <w:b/>
      <w:bCs/>
      <w:color w:val="000000"/>
      <w:kern w:val="0"/>
      <w:sz w:val="24"/>
      <w:szCs w:val="24"/>
      <w:lang w:val="ru-RU" w:eastAsia="ru-RU" w:bidi="ar-SA"/>
    </w:rPr>
  </w:style>
  <w:style w:type="paragraph" w:styleId="Heading3">
    <w:name w:val="Heading 3"/>
    <w:uiPriority w:val="9"/>
    <w:semiHidden/>
    <w:unhideWhenUsed/>
    <w:qFormat/>
    <w:pPr>
      <w:widowControl/>
      <w:bidi w:val="0"/>
      <w:spacing w:before="0" w:after="0"/>
      <w:jc w:val="left"/>
      <w:outlineLvl w:val="2"/>
    </w:pPr>
    <w:rPr>
      <w:rFonts w:ascii="Times New Roman" w:hAnsi="Times New Roman" w:eastAsia="Times New Roman" w:cs="Times New Roman"/>
      <w:color w:val="1F4D78"/>
      <w:kern w:val="0"/>
      <w:sz w:val="24"/>
      <w:szCs w:val="24"/>
      <w:lang w:val="ru-RU" w:eastAsia="ru-RU" w:bidi="ar-SA"/>
    </w:rPr>
  </w:style>
  <w:style w:type="paragraph" w:styleId="Heading4">
    <w:name w:val="Heading 4"/>
    <w:uiPriority w:val="9"/>
    <w:semiHidden/>
    <w:unhideWhenUsed/>
    <w:qFormat/>
    <w:pPr>
      <w:widowControl/>
      <w:bidi w:val="0"/>
      <w:spacing w:before="0" w:after="0"/>
      <w:jc w:val="left"/>
      <w:outlineLvl w:val="3"/>
    </w:pPr>
    <w:rPr>
      <w:rFonts w:ascii="Times New Roman" w:hAnsi="Times New Roman" w:eastAsia="Times New Roman" w:cs="Times New Roman"/>
      <w:i/>
      <w:iCs/>
      <w:color w:val="2E74B5"/>
      <w:kern w:val="0"/>
      <w:sz w:val="24"/>
      <w:szCs w:val="24"/>
      <w:lang w:val="ru-RU" w:eastAsia="ru-RU" w:bidi="ar-SA"/>
    </w:rPr>
  </w:style>
  <w:style w:type="paragraph" w:styleId="Heading5">
    <w:name w:val="Heading 5"/>
    <w:uiPriority w:val="9"/>
    <w:semiHidden/>
    <w:unhideWhenUsed/>
    <w:qFormat/>
    <w:pPr>
      <w:widowControl/>
      <w:bidi w:val="0"/>
      <w:spacing w:before="0" w:after="0"/>
      <w:jc w:val="left"/>
      <w:outlineLvl w:val="4"/>
    </w:pPr>
    <w:rPr>
      <w:rFonts w:ascii="Times New Roman" w:hAnsi="Times New Roman" w:eastAsia="Times New Roman" w:cs="Times New Roman"/>
      <w:color w:val="2E74B5"/>
      <w:kern w:val="0"/>
      <w:sz w:val="24"/>
      <w:szCs w:val="24"/>
      <w:lang w:val="ru-RU" w:eastAsia="ru-RU" w:bidi="ar-SA"/>
    </w:rPr>
  </w:style>
  <w:style w:type="paragraph" w:styleId="Heading6">
    <w:name w:val="Heading 6"/>
    <w:uiPriority w:val="9"/>
    <w:semiHidden/>
    <w:unhideWhenUsed/>
    <w:qFormat/>
    <w:pPr>
      <w:widowControl/>
      <w:bidi w:val="0"/>
      <w:spacing w:before="0" w:after="0"/>
      <w:jc w:val="left"/>
      <w:outlineLvl w:val="5"/>
    </w:pPr>
    <w:rPr>
      <w:rFonts w:ascii="Times New Roman" w:hAnsi="Times New Roman" w:eastAsia="Times New Roman" w:cs="Times New Roman"/>
      <w:color w:val="1F4D78"/>
      <w:kern w:val="0"/>
      <w:sz w:val="24"/>
      <w:szCs w:val="24"/>
      <w:lang w:val="ru-RU" w:eastAsia="ru-RU"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Style8" w:customStyle="1">
    <w:name w:val="Текст сноски Знак"/>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Style9" w:customStyle="1">
    <w:name w:val="Текст концевой сноски Знак"/>
    <w:link w:val="EndnoteText"/>
    <w:uiPriority w:val="99"/>
    <w:semiHidden/>
    <w:unhideWhenUsed/>
    <w:qFormat/>
    <w:rPr>
      <w:sz w:val="20"/>
      <w:szCs w:val="20"/>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uiPriority w:val="10"/>
    <w:qFormat/>
    <w:pPr>
      <w:widowControl/>
      <w:bidi w:val="0"/>
      <w:spacing w:before="0" w:after="0"/>
      <w:jc w:val="left"/>
    </w:pPr>
    <w:rPr>
      <w:rFonts w:ascii="Times New Roman" w:hAnsi="Times New Roman" w:eastAsia="Times New Roman" w:cs="Times New Roman"/>
      <w:color w:val="222222"/>
      <w:kern w:val="0"/>
      <w:sz w:val="56"/>
      <w:szCs w:val="56"/>
      <w:lang w:val="ru-RU" w:eastAsia="ru-RU" w:bidi="ar-SA"/>
    </w:rPr>
  </w:style>
  <w:style w:type="paragraph" w:styleId="1" w:customStyle="1">
    <w:name w:val="Строгий1"/>
    <w:qFormat/>
    <w:pPr>
      <w:widowControl/>
      <w:bidi w:val="0"/>
      <w:spacing w:before="0" w:after="0"/>
      <w:jc w:val="left"/>
    </w:pPr>
    <w:rPr>
      <w:rFonts w:ascii="Times New Roman" w:hAnsi="Times New Roman" w:eastAsia="Times New Roman" w:cs="Times New Roman"/>
      <w:b/>
      <w:bCs/>
      <w:color w:val="222222"/>
      <w:kern w:val="0"/>
      <w:sz w:val="24"/>
      <w:szCs w:val="24"/>
      <w:lang w:val="ru-RU" w:eastAsia="ru-RU" w:bidi="ar-SA"/>
    </w:rPr>
  </w:style>
  <w:style w:type="paragraph" w:styleId="ListParagraph">
    <w:name w:val="List Paragraph"/>
    <w:qFormat/>
    <w:pPr>
      <w:widowControl/>
      <w:bidi w:val="0"/>
      <w:spacing w:before="0" w:after="0"/>
      <w:jc w:val="left"/>
    </w:pPr>
    <w:rPr>
      <w:rFonts w:ascii="Times New Roman" w:hAnsi="Times New Roman" w:eastAsia="Times New Roman" w:cs="Times New Roman"/>
      <w:color w:val="222222"/>
      <w:kern w:val="0"/>
      <w:sz w:val="24"/>
      <w:szCs w:val="24"/>
      <w:lang w:val="ru-RU" w:eastAsia="ru-RU" w:bidi="ar-SA"/>
    </w:rPr>
  </w:style>
  <w:style w:type="paragraph" w:styleId="FootnoteText">
    <w:name w:val="Footnote Text"/>
    <w:link w:val="Style8"/>
    <w:uiPriority w:val="99"/>
    <w:semiHidden/>
    <w:unhideWhenUsed/>
    <w:pPr>
      <w:widowControl/>
      <w:bidi w:val="0"/>
      <w:spacing w:before="0" w:after="0"/>
      <w:jc w:val="left"/>
    </w:pPr>
    <w:rPr>
      <w:rFonts w:ascii="Times New Roman" w:hAnsi="Times New Roman" w:eastAsia="Times New Roman" w:cs="Times New Roman"/>
      <w:color w:val="222222"/>
      <w:kern w:val="0"/>
      <w:sz w:val="20"/>
      <w:szCs w:val="20"/>
      <w:lang w:val="ru-RU" w:eastAsia="ru-RU" w:bidi="ar-SA"/>
    </w:rPr>
  </w:style>
  <w:style w:type="paragraph" w:styleId="EndnoteText">
    <w:name w:val="Endnote Text"/>
    <w:link w:val="Style9"/>
    <w:uiPriority w:val="99"/>
    <w:semiHidden/>
    <w:unhideWhenUsed/>
    <w:pPr>
      <w:widowControl/>
      <w:bidi w:val="0"/>
      <w:spacing w:before="0" w:after="0"/>
      <w:jc w:val="left"/>
    </w:pPr>
    <w:rPr>
      <w:rFonts w:ascii="Times New Roman" w:hAnsi="Times New Roman" w:eastAsia="Times New Roman" w:cs="Times New Roman"/>
      <w:color w:val="222222"/>
      <w:kern w:val="0"/>
      <w:sz w:val="20"/>
      <w:szCs w:val="20"/>
      <w:lang w:val="ru-RU" w:eastAsia="ru-RU" w:bidi="ar-SA"/>
    </w:rPr>
  </w:style>
  <w:style w:type="paragraph" w:styleId="Revision">
    <w:name w:val="Revision"/>
    <w:uiPriority w:val="99"/>
    <w:semiHidden/>
    <w:qFormat/>
    <w:rsid w:val="001f3b97"/>
    <w:pPr>
      <w:widowControl/>
      <w:bidi w:val="0"/>
      <w:spacing w:before="0" w:after="0"/>
      <w:jc w:val="left"/>
    </w:pPr>
    <w:rPr>
      <w:rFonts w:ascii="Times New Roman" w:hAnsi="Times New Roman" w:eastAsia="Times New Roman" w:cs="Times New Roman"/>
      <w:color w:val="222222"/>
      <w:kern w:val="0"/>
      <w:sz w:val="24"/>
      <w:szCs w:val="24"/>
      <w:lang w:val="ru-RU" w:eastAsia="ru-RU" w:bidi="ar-SA"/>
    </w:rPr>
  </w:style>
  <w:style w:type="paragraph" w:styleId="HeaderandFooter">
    <w:name w:val="Header and Footer"/>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TotalTime>
  <Application>LibreOffice/24.2.7.2$Linux_X86_64 LibreOffice_project/420$Build-2</Application>
  <AppVersion>15.0000</AppVersion>
  <Pages>10</Pages>
  <Words>598</Words>
  <Characters>4457</Characters>
  <CharactersWithSpaces>5043</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2026-05-14T07:43:00Z</dcterms:created>
  <dc:creator>Un-named</dc:creator>
  <dc:description/>
  <dc:language>en-US</dc:language>
  <cp:lastModifiedBy/>
  <dcterms:modified xsi:type="dcterms:W3CDTF">2026-05-22T13:24:19Z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